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NDIS incident management and handling</w:t>
      </w:r>
    </w:p>
    <w:p>
      <w:pPr>
        <w:pStyle w:val="Subtitle"/>
      </w:pPr>
      <w:r>
        <w:t>Staff training module and related policy pack</w:t>
      </w:r>
    </w:p>
    <w:p>
      <w:r>
        <w:t>Prepared for Australian NDIS providers. Includes national incident requirements, a NSW reporting supplement, operational procedures and reusable forms.</w:t>
      </w:r>
    </w:p>
    <w:p>
      <w:r>
        <w:t>Research date: 9 October 2026</w:t>
        <w:br/>
        <w:t>Version: 1.0</w:t>
        <w:br/>
        <w:t>Status: Draft for provider adoption</w:t>
      </w:r>
    </w:p>
    <w:p>
      <w:pPr>
        <w:pStyle w:val="Heading2"/>
      </w:pPr>
      <w:r>
        <w:t>Purpose</w:t>
      </w:r>
    </w:p>
    <w:p>
      <w:r>
        <w:t>Use this pack to teach workers how to recognise and respond to incidents, protect participants, escalate concerns and document follow-up. Managers can adapt the policies and forms into their organisation’s incident management system.</w:t>
      </w:r>
    </w:p>
    <w:p>
      <w:pPr>
        <w:pStyle w:val="Heading2"/>
      </w:pPr>
      <w:r>
        <w:t>Scope</w:t>
      </w:r>
    </w:p>
    <w:p>
      <w:r>
        <w:t>The national reportable incident duties described here apply to registered NDIS providers. All providers and workers remain subject to the NDIS Code of Conduct and applicable safety, criminal, child protection and privacy requirements. The operational policies are designed for disability support, SIL, community access and allied health settings.</w:t>
      </w:r>
    </w:p>
    <w:p>
      <w:r>
        <w:t>This is an original implementation template, not an NDIS Commission publication or an approved training qualification. It covers the core incident policies and relevant response procedures; it does not replace every clinical, HR, behaviour support or jurisdiction-specific policy a provider may need.</w:t>
      </w:r>
    </w:p>
    <w:p>
      <w:pPr>
        <w:pStyle w:val="Heading2"/>
      </w:pPr>
      <w:r>
        <w:t>Before issuing to staff</w:t>
      </w:r>
    </w:p>
    <w:p>
      <w:r>
        <w:t>Complete the adoption details on page 2, confirm your service scope and registration status, nominate trained reporting personnel and check local reporting obligations. Management approval activates the organisation’s policies; the blank approval fields do not indicate approval has already occurred.</w:t>
      </w:r>
    </w:p>
    <w:p>
      <w:r>
        <w:br w:type="page"/>
      </w:r>
    </w:p>
    <w:p>
      <w:pPr>
        <w:pStyle w:val="Heading1"/>
      </w:pPr>
      <w:r>
        <w:t>Document control and adoption</w:t>
      </w:r>
    </w:p>
    <w:p>
      <w:r>
        <w:rPr>
          <w:b/>
        </w:rPr>
        <w:t>Organisation and legal entity</w:t>
      </w:r>
    </w:p>
    <w:p>
      <w:r>
        <w:t>________________________________________________________________________________</w:t>
      </w:r>
    </w:p>
    <w:p>
      <w:r>
        <w:rPr>
          <w:b/>
        </w:rPr>
        <w:t>NDIS registration number and service scope</w:t>
      </w:r>
    </w:p>
    <w:p>
      <w:r>
        <w:t>________________________________________________________________________________</w:t>
      </w:r>
    </w:p>
    <w:p>
      <w:r>
        <w:rPr>
          <w:b/>
        </w:rPr>
        <w:t>Approved by and approval date</w:t>
      </w:r>
    </w:p>
    <w:p>
      <w:r>
        <w:t>________________________________________________________________________________</w:t>
      </w:r>
    </w:p>
    <w:p>
      <w:r>
        <w:rPr>
          <w:b/>
        </w:rPr>
        <w:t>Effective date and next review date</w:t>
      </w:r>
    </w:p>
    <w:p>
      <w:r>
        <w:t>________________________________________________________________________________</w:t>
      </w:r>
    </w:p>
    <w:p>
      <w:r>
        <w:rPr>
          <w:b/>
        </w:rPr>
        <w:t>Incident Manager and contact number</w:t>
      </w:r>
    </w:p>
    <w:p>
      <w:r>
        <w:t>________________________________________________________________________________</w:t>
      </w:r>
    </w:p>
    <w:p>
      <w:r>
        <w:rPr>
          <w:b/>
        </w:rPr>
        <w:t>After hours manager and backup contact</w:t>
      </w:r>
    </w:p>
    <w:p>
      <w:r>
        <w:t>________________________________________________________________________________</w:t>
      </w:r>
    </w:p>
    <w:p>
      <w:r>
        <w:rPr>
          <w:b/>
        </w:rPr>
        <w:t>Commission notifier and backup notifier</w:t>
      </w:r>
    </w:p>
    <w:p>
      <w:r>
        <w:t>________________________________________________________________________________</w:t>
      </w:r>
    </w:p>
    <w:p>
      <w:r>
        <w:rPr>
          <w:b/>
        </w:rPr>
        <w:t>Independent escalation contact if management is implicated</w:t>
      </w:r>
    </w:p>
    <w:p>
      <w:r>
        <w:t>________________________________________________________________________________</w:t>
      </w:r>
    </w:p>
    <w:p>
      <w:r>
        <w:t>Suggested review cycle: annually and after a serious incident, legal change or identified system failure. Review is an internal control, not a universal statutory annual deadline.</w:t>
      </w:r>
    </w:p>
    <w:p>
      <w:r>
        <w:br w:type="page"/>
      </w:r>
    </w:p>
    <w:p>
      <w:pPr>
        <w:pStyle w:val="Heading1"/>
      </w:pPr>
      <w:r>
        <w:t>Contents and policy register</w:t>
      </w:r>
    </w:p>
    <w:tbl>
      <w:tblPr>
        <w:tblW w:type="auto" w:w="0"/>
        <w:tblLayout w:type="fixed"/>
        <w:tblLook w:firstColumn="1" w:firstRow="1" w:lastColumn="0" w:lastRow="0" w:noHBand="0" w:noVBand="1" w:val="04A0"/>
      </w:tblPr>
      <w:tblGrid>
        <w:gridCol w:w="1584"/>
        <w:gridCol w:w="8352"/>
      </w:tblGrid>
      <w:tr>
        <w:trPr>
          <w:cantSplit/>
          <w:tblHeader/>
        </w:trPr>
        <w:tc>
          <w:tcPr>
            <w:tcW w:type="dxa" w:w="1584"/>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Section</w:t>
            </w:r>
          </w:p>
        </w:tc>
        <w:tc>
          <w:tcPr>
            <w:tcW w:type="dxa" w:w="8352"/>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Included material</w:t>
            </w:r>
          </w:p>
        </w:tc>
      </w:tr>
      <w:tr>
        <w:trPr>
          <w:cantSplit/>
        </w:trPr>
        <w:tc>
          <w:tcPr>
            <w:tcW w:type="dxa" w:w="158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4 to 8</w:t>
            </w:r>
          </w:p>
        </w:tc>
        <w:tc>
          <w:tcPr>
            <w:tcW w:type="dxa" w:w="835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Training module, scenarios, knowledge checks and facilitator answers</w:t>
            </w:r>
          </w:p>
        </w:tc>
      </w:tr>
      <w:tr>
        <w:trPr>
          <w:cantSplit/>
        </w:trPr>
        <w:tc>
          <w:tcPr>
            <w:tcW w:type="dxa" w:w="1584"/>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9</w:t>
            </w:r>
          </w:p>
        </w:tc>
        <w:tc>
          <w:tcPr>
            <w:tcW w:type="dxa" w:w="835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Legal reporting deadlines</w:t>
            </w:r>
          </w:p>
        </w:tc>
      </w:tr>
      <w:tr>
        <w:trPr>
          <w:cantSplit/>
        </w:trPr>
        <w:tc>
          <w:tcPr>
            <w:tcW w:type="dxa" w:w="158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10 to 25</w:t>
            </w:r>
          </w:p>
        </w:tc>
        <w:tc>
          <w:tcPr>
            <w:tcW w:type="dxa" w:w="835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Sixteen incident policies and procedures</w:t>
            </w:r>
          </w:p>
        </w:tc>
      </w:tr>
      <w:tr>
        <w:trPr>
          <w:cantSplit/>
        </w:trPr>
        <w:tc>
          <w:tcPr>
            <w:tcW w:type="dxa" w:w="1584"/>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26 to 31</w:t>
            </w:r>
          </w:p>
        </w:tc>
        <w:tc>
          <w:tcPr>
            <w:tcW w:type="dxa" w:w="835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Incident forms, investigation tools and training records</w:t>
            </w:r>
          </w:p>
        </w:tc>
      </w:tr>
      <w:tr>
        <w:trPr>
          <w:cantSplit/>
        </w:trPr>
        <w:tc>
          <w:tcPr>
            <w:tcW w:type="dxa" w:w="158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32</w:t>
            </w:r>
          </w:p>
        </w:tc>
        <w:tc>
          <w:tcPr>
            <w:tcW w:type="dxa" w:w="835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NSW supplement and external contacts</w:t>
            </w:r>
          </w:p>
        </w:tc>
      </w:tr>
      <w:tr>
        <w:trPr>
          <w:cantSplit/>
        </w:trPr>
        <w:tc>
          <w:tcPr>
            <w:tcW w:type="dxa" w:w="1584"/>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33 to 34</w:t>
            </w:r>
          </w:p>
        </w:tc>
        <w:tc>
          <w:tcPr>
            <w:tcW w:type="dxa" w:w="835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Official source register and implementation checklist</w:t>
            </w:r>
          </w:p>
        </w:tc>
      </w:tr>
    </w:tbl>
    <w:p/>
    <w:tbl>
      <w:tblPr>
        <w:tblW w:type="auto" w:w="0"/>
        <w:tblLayout w:type="fixed"/>
        <w:tblLook w:firstColumn="1" w:firstRow="1" w:lastColumn="0" w:lastRow="0" w:noHBand="0" w:noVBand="1" w:val="04A0"/>
      </w:tblPr>
      <w:tblGrid>
        <w:gridCol w:w="936"/>
        <w:gridCol w:w="9000"/>
      </w:tblGrid>
      <w:tr>
        <w:trPr>
          <w:cantSplit/>
          <w:tblHeader/>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ID</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Policy or procedure</w:t>
            </w:r>
          </w:p>
        </w:tc>
      </w:tr>
      <w:tr>
        <w:trPr>
          <w:cantSplit/>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IM01</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Incident management and escalation</w:t>
            </w:r>
          </w:p>
        </w:tc>
      </w:tr>
      <w:tr>
        <w:trPr>
          <w:cantSplit/>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IM02</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Reportable incident notification</w:t>
            </w:r>
          </w:p>
        </w:tc>
      </w:tr>
      <w:tr>
        <w:trPr>
          <w:cantSplit/>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IM03</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Safeguarding and abuse response</w:t>
            </w:r>
          </w:p>
        </w:tc>
      </w:tr>
      <w:tr>
        <w:trPr>
          <w:cantSplit/>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IM04</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Participant support and open disclosure</w:t>
            </w:r>
          </w:p>
        </w:tc>
      </w:tr>
      <w:tr>
        <w:trPr>
          <w:cantSplit/>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IM05</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Investigation and procedural fairness</w:t>
            </w:r>
          </w:p>
        </w:tc>
      </w:tr>
      <w:tr>
        <w:trPr>
          <w:cantSplit/>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IM06</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Restrictive practice incident response</w:t>
            </w:r>
          </w:p>
        </w:tc>
      </w:tr>
      <w:tr>
        <w:trPr>
          <w:cantSplit/>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IM07</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Medication and clinical incident response</w:t>
            </w:r>
          </w:p>
        </w:tc>
      </w:tr>
      <w:tr>
        <w:trPr>
          <w:cantSplit/>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IM08</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Falls injury and equipment incident response</w:t>
            </w:r>
          </w:p>
        </w:tc>
      </w:tr>
      <w:tr>
        <w:trPr>
          <w:cantSplit/>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IM09</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Missing participant and transport incident response</w:t>
            </w:r>
          </w:p>
        </w:tc>
      </w:tr>
      <w:tr>
        <w:trPr>
          <w:cantSplit/>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IM10</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Emergency response and service continuity</w:t>
            </w:r>
          </w:p>
        </w:tc>
      </w:tr>
      <w:tr>
        <w:trPr>
          <w:cantSplit/>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IM11</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Privacy evidence and records</w:t>
            </w:r>
          </w:p>
        </w:tc>
      </w:tr>
      <w:tr>
        <w:trPr>
          <w:cantSplit/>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IM12</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Complaints and protected reporting</w:t>
            </w:r>
          </w:p>
        </w:tc>
      </w:tr>
      <w:tr>
        <w:trPr>
          <w:cantSplit/>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IM13</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Workforce conduct and post incident support</w:t>
            </w:r>
          </w:p>
        </w:tc>
      </w:tr>
      <w:tr>
        <w:trPr>
          <w:cantSplit/>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IM14</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Corrective action and continuous improvement</w:t>
            </w:r>
          </w:p>
        </w:tc>
      </w:tr>
      <w:tr>
        <w:trPr>
          <w:cantSplit/>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IM15</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Governance assurance and incident review</w:t>
            </w:r>
          </w:p>
        </w:tc>
      </w:tr>
      <w:tr>
        <w:trPr>
          <w:cantSplit/>
        </w:trPr>
        <w:tc>
          <w:tcPr>
            <w:tcW w:type="dxa" w:w="93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IM16</w:t>
            </w:r>
          </w:p>
        </w:tc>
        <w:tc>
          <w:tcPr>
            <w:tcW w:type="dxa" w:w="900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External reporting and interagency coordination</w:t>
            </w:r>
          </w:p>
        </w:tc>
      </w:tr>
    </w:tbl>
    <w:p/>
    <w:p>
      <w:r>
        <w:br w:type="page"/>
      </w:r>
    </w:p>
    <w:p>
      <w:pPr>
        <w:pStyle w:val="Heading1"/>
      </w:pPr>
      <w:r>
        <w:t>Training module delivery plan</w:t>
      </w:r>
    </w:p>
    <w:p>
      <w:r>
        <w:t>Audience: support workers, OTs and other allied health staff, nurses, team leaders and managers. Suggested duration: 90 minutes plus 20 minutes for the practical assessment. Managers also complete a notification exercise using a training environment or screenshots, without submitting a fictional incident.</w:t>
      </w:r>
    </w:p>
    <w:p>
      <w:pPr>
        <w:pStyle w:val="Heading2"/>
      </w:pPr>
      <w:r>
        <w:t>Learning outcomes</w:t>
      </w:r>
    </w:p>
    <w:p>
      <w:pPr>
        <w:pStyle w:val="ListBullet"/>
      </w:pPr>
      <w:r>
        <w:t>Recognise actual harm, potential harm, near misses and allegations.</w:t>
      </w:r>
    </w:p>
    <w:p>
      <w:pPr>
        <w:pStyle w:val="ListBullet"/>
      </w:pPr>
      <w:r>
        <w:t>Take immediate action within your competence and involve emergency services.</w:t>
      </w:r>
    </w:p>
    <w:p>
      <w:pPr>
        <w:pStyle w:val="ListBullet"/>
      </w:pPr>
      <w:r>
        <w:t>Support the participant’s communication, choice and access to advocacy.</w:t>
      </w:r>
    </w:p>
    <w:p>
      <w:pPr>
        <w:pStyle w:val="ListBullet"/>
      </w:pPr>
      <w:r>
        <w:t>Escalate promptly and separate internal incident handling from Commission notification.</w:t>
      </w:r>
    </w:p>
    <w:p>
      <w:pPr>
        <w:pStyle w:val="ListBullet"/>
      </w:pPr>
      <w:r>
        <w:t>Create a factual record and preserve evidence.</w:t>
      </w:r>
    </w:p>
    <w:p>
      <w:pPr>
        <w:pStyle w:val="ListBullet"/>
      </w:pPr>
      <w:r>
        <w:t>Identify corrective actions and check whether they prevent recurrence.</w:t>
      </w:r>
    </w:p>
    <w:tbl>
      <w:tblPr>
        <w:tblW w:type="auto" w:w="0"/>
        <w:tblLayout w:type="fixed"/>
        <w:tblLook w:firstColumn="1" w:firstRow="1" w:lastColumn="0" w:lastRow="0" w:noHBand="0" w:noVBand="1" w:val="04A0"/>
      </w:tblPr>
      <w:tblGrid>
        <w:gridCol w:w="1440"/>
        <w:gridCol w:w="2592"/>
        <w:gridCol w:w="5904"/>
      </w:tblGrid>
      <w:tr>
        <w:trPr>
          <w:cantSplit/>
          <w:tblHeader/>
        </w:trPr>
        <w:tc>
          <w:tcPr>
            <w:tcW w:type="dxa" w:w="1440"/>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Time</w:t>
            </w:r>
          </w:p>
        </w:tc>
        <w:tc>
          <w:tcPr>
            <w:tcW w:type="dxa" w:w="2592"/>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Activity</w:t>
            </w:r>
          </w:p>
        </w:tc>
        <w:tc>
          <w:tcPr>
            <w:tcW w:type="dxa" w:w="5904"/>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Facilitator task</w:t>
            </w:r>
          </w:p>
        </w:tc>
      </w:tr>
      <w:tr>
        <w:trPr>
          <w:cantSplit/>
        </w:trPr>
        <w:tc>
          <w:tcPr>
            <w:tcW w:type="dxa" w:w="144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0 to 10 min</w:t>
            </w:r>
          </w:p>
        </w:tc>
        <w:tc>
          <w:tcPr>
            <w:tcW w:type="dxa" w:w="259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Rights and scope</w:t>
            </w:r>
          </w:p>
        </w:tc>
        <w:tc>
          <w:tcPr>
            <w:tcW w:type="dxa" w:w="590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Explain who reports and show the local escalation contacts.</w:t>
            </w:r>
          </w:p>
        </w:tc>
      </w:tr>
      <w:tr>
        <w:trPr>
          <w:cantSplit/>
        </w:trPr>
        <w:tc>
          <w:tcPr>
            <w:tcW w:type="dxa" w:w="144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10 to 25 min</w:t>
            </w:r>
          </w:p>
        </w:tc>
        <w:tc>
          <w:tcPr>
            <w:tcW w:type="dxa" w:w="259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Recognising incidents</w:t>
            </w:r>
          </w:p>
        </w:tc>
        <w:tc>
          <w:tcPr>
            <w:tcW w:type="dxa" w:w="5904"/>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Use examples from the service and distinguish harm from a near miss.</w:t>
            </w:r>
          </w:p>
        </w:tc>
      </w:tr>
      <w:tr>
        <w:trPr>
          <w:cantSplit/>
        </w:trPr>
        <w:tc>
          <w:tcPr>
            <w:tcW w:type="dxa" w:w="144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25 to 45 min</w:t>
            </w:r>
          </w:p>
        </w:tc>
        <w:tc>
          <w:tcPr>
            <w:tcW w:type="dxa" w:w="259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Immediate response</w:t>
            </w:r>
          </w:p>
        </w:tc>
        <w:tc>
          <w:tcPr>
            <w:tcW w:type="dxa" w:w="590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Practise safety actions and participant communication.</w:t>
            </w:r>
          </w:p>
        </w:tc>
      </w:tr>
      <w:tr>
        <w:trPr>
          <w:cantSplit/>
        </w:trPr>
        <w:tc>
          <w:tcPr>
            <w:tcW w:type="dxa" w:w="144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45 to 60 min</w:t>
            </w:r>
          </w:p>
        </w:tc>
        <w:tc>
          <w:tcPr>
            <w:tcW w:type="dxa" w:w="259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Documentation and deadlines</w:t>
            </w:r>
          </w:p>
        </w:tc>
        <w:tc>
          <w:tcPr>
            <w:tcW w:type="dxa" w:w="5904"/>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Use the deadline table and complete a fictional form.</w:t>
            </w:r>
          </w:p>
        </w:tc>
      </w:tr>
      <w:tr>
        <w:trPr>
          <w:cantSplit/>
        </w:trPr>
        <w:tc>
          <w:tcPr>
            <w:tcW w:type="dxa" w:w="144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60 to 80 min</w:t>
            </w:r>
          </w:p>
        </w:tc>
        <w:tc>
          <w:tcPr>
            <w:tcW w:type="dxa" w:w="259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Scenario discussion</w:t>
            </w:r>
          </w:p>
        </w:tc>
        <w:tc>
          <w:tcPr>
            <w:tcW w:type="dxa" w:w="590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Assign one scenario to each group and ask for a response plan.</w:t>
            </w:r>
          </w:p>
        </w:tc>
      </w:tr>
      <w:tr>
        <w:trPr>
          <w:cantSplit/>
        </w:trPr>
        <w:tc>
          <w:tcPr>
            <w:tcW w:type="dxa" w:w="144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80 to 90 min</w:t>
            </w:r>
          </w:p>
        </w:tc>
        <w:tc>
          <w:tcPr>
            <w:tcW w:type="dxa" w:w="259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Knowledge check</w:t>
            </w:r>
          </w:p>
        </w:tc>
        <w:tc>
          <w:tcPr>
            <w:tcW w:type="dxa" w:w="5904"/>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Review errors and identify further coaching.</w:t>
            </w:r>
          </w:p>
        </w:tc>
      </w:tr>
      <w:tr>
        <w:trPr>
          <w:cantSplit/>
        </w:trPr>
        <w:tc>
          <w:tcPr>
            <w:tcW w:type="dxa" w:w="144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Additional 20 min</w:t>
            </w:r>
          </w:p>
        </w:tc>
        <w:tc>
          <w:tcPr>
            <w:tcW w:type="dxa" w:w="259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Observed practical assessment</w:t>
            </w:r>
          </w:p>
        </w:tc>
        <w:tc>
          <w:tcPr>
            <w:tcW w:type="dxa" w:w="590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Assess a phone escalation and incident record.</w:t>
            </w:r>
          </w:p>
        </w:tc>
      </w:tr>
    </w:tbl>
    <w:p/>
    <w:p>
      <w:pPr>
        <w:pStyle w:val="Heading2"/>
      </w:pPr>
      <w:r>
        <w:t>Facilitator preparation</w:t>
      </w:r>
    </w:p>
    <w:p>
      <w:r>
        <w:t>Bring the adopted policies, escalation roster, secure reporting form, participant communication aids and a local agency contact list. Use fictional details throughout. Agree how staff will privately raise distressing experiences during training.</w:t>
      </w:r>
    </w:p>
    <w:p>
      <w:r>
        <w:t>Refresher recommendation: at induction, annually, after policy changes and after an incident reveals a skills gap. Record attendance and practical competence separately.</w:t>
      </w:r>
    </w:p>
    <w:p>
      <w:r>
        <w:br w:type="page"/>
      </w:r>
    </w:p>
    <w:p>
      <w:pPr>
        <w:pStyle w:val="Heading1"/>
      </w:pPr>
      <w:r>
        <w:t>Training lesson recognising and responding</w:t>
      </w:r>
    </w:p>
    <w:p>
      <w:pPr>
        <w:pStyle w:val="Heading2"/>
      </w:pPr>
      <w:r>
        <w:t>What to recognise</w:t>
      </w:r>
    </w:p>
    <w:p>
      <w:r>
        <w:t>An incident can involve an action, a failure to act, an event or a dangerous situation connected with supports. Record potential harm as well as actual harm. An allegation is information requiring a response; staff do not need to prove it before escalating. An internal incident is not automatically a Commission reportable incident. [S1]</w:t>
      </w:r>
    </w:p>
    <w:p>
      <w:pPr>
        <w:pStyle w:val="ListBullet"/>
      </w:pPr>
      <w:r>
        <w:t>A participant says a worker took their money.</w:t>
      </w:r>
    </w:p>
    <w:p>
      <w:pPr>
        <w:pStyle w:val="ListBullet"/>
      </w:pPr>
      <w:r>
        <w:t>A medication is omitted or given to the wrong participant.</w:t>
      </w:r>
    </w:p>
    <w:p>
      <w:pPr>
        <w:pStyle w:val="ListBullet"/>
      </w:pPr>
      <w:r>
        <w:t>An OT notices unexplained bruising during an assessment.</w:t>
      </w:r>
    </w:p>
    <w:p>
      <w:pPr>
        <w:pStyle w:val="ListBullet"/>
      </w:pPr>
      <w:r>
        <w:t>A hoist strap fails before the participant is lifted.</w:t>
      </w:r>
    </w:p>
    <w:p>
      <w:pPr>
        <w:pStyle w:val="ListBullet"/>
      </w:pPr>
      <w:r>
        <w:t>A participant is left without essential support because a shift is uncovered.</w:t>
      </w:r>
    </w:p>
    <w:p>
      <w:pPr>
        <w:pStyle w:val="ListBullet"/>
      </w:pPr>
      <w:r>
        <w:t>A participant causes serious harm, or a risk of serious harm, to another person.</w:t>
      </w:r>
    </w:p>
    <w:p>
      <w:pPr>
        <w:pStyle w:val="Heading2"/>
      </w:pPr>
      <w:r>
        <w:t>First response</w:t>
      </w:r>
    </w:p>
    <w:p>
      <w:pPr>
        <w:ind w:left="259" w:hanging="259"/>
      </w:pPr>
      <w:r>
        <w:t>1. Make the immediate environment safe without placing yourself or others at further risk. Call 000 for an emergency. Follow dispatcher instructions and provide first aid within your training.</w:t>
      </w:r>
    </w:p>
    <w:p>
      <w:pPr>
        <w:ind w:left="259" w:hanging="259"/>
      </w:pPr>
      <w:r>
        <w:t>2. Attend to the participant. Use their communication method, explain what is happening and offer a trusted support person who is not implicated.</w:t>
      </w:r>
    </w:p>
    <w:p>
      <w:pPr>
        <w:ind w:left="259" w:hanging="259"/>
      </w:pPr>
      <w:r>
        <w:t>3. Contact the on-call manager as soon as safety permits. If the concern involves that manager, contact the independent escalation person.</w:t>
      </w:r>
    </w:p>
    <w:p>
      <w:pPr>
        <w:ind w:left="259" w:hanging="259"/>
      </w:pPr>
      <w:r>
        <w:t>4. Preserve records and other evidence. Do not conduct a detailed interview, alter records or confront an alleged offender.</w:t>
      </w:r>
    </w:p>
    <w:p>
      <w:pPr>
        <w:ind w:left="259" w:hanging="259"/>
      </w:pPr>
      <w:r>
        <w:t>5. Complete the secure incident record when immediate care is underway. Give the next shift a clear handover of current risks and actions.</w:t>
      </w:r>
    </w:p>
    <w:p>
      <w:pPr>
        <w:pStyle w:val="Heading2"/>
      </w:pPr>
      <w:r>
        <w:t>Listen to a disclosure</w:t>
      </w:r>
    </w:p>
    <w:p>
      <w:r>
        <w:t>Use calm, open prompts such as “Tell me what happened.” Record the person’s own words. Avoid leading questions or asking them to repeatedly retell the event. Explain that you will share information with people who need it to keep them safe; do not promise secrecy.</w:t>
      </w:r>
    </w:p>
    <w:p>
      <w:pPr>
        <w:pStyle w:val="Heading2"/>
      </w:pPr>
      <w:r>
        <w:t>Allied health example</w:t>
      </w:r>
    </w:p>
    <w:p>
      <w:r>
        <w:t>An OT who suspects neglect during a home assessment should pause unsafe activity, address immediate safety, document observations and escalate through the provider’s pathway. A therapy progress note alone does not replace an incident record. If several providers are involved, each assesses its own reporting duties.</w:t>
      </w:r>
    </w:p>
    <w:p>
      <w:r>
        <w:br w:type="page"/>
      </w:r>
    </w:p>
    <w:p>
      <w:pPr>
        <w:pStyle w:val="Heading1"/>
      </w:pPr>
      <w:r>
        <w:t>Training lesson documenting and escalating</w:t>
      </w:r>
    </w:p>
    <w:p>
      <w:pPr>
        <w:pStyle w:val="Heading2"/>
      </w:pPr>
      <w:r>
        <w:t>Write facts that another person can follow</w:t>
      </w:r>
    </w:p>
    <w:p>
      <w:r>
        <w:t>Include what you observed, what someone told you, when you became aware, the impact and what you did. Separate direct observation from an allegation and from your professional opinion. Record unknown information as unknown. Use a dated addendum to correct a record; retain the original entry.</w:t>
      </w:r>
    </w:p>
    <w:p>
      <w:r>
        <w:t>Example of a useful record: “At 14:05 I saw a bruise on the participant’s left forearm. The participant said, ‘He grabbed me last night.’ I did not witness that event. At 14:12 I called the on-call manager. The participant requested their advocate. Clinical review was arranged.”</w:t>
      </w:r>
    </w:p>
    <w:p>
      <w:pPr>
        <w:pStyle w:val="Heading2"/>
      </w:pPr>
      <w:r>
        <w:t>Internal escalation</w:t>
      </w:r>
    </w:p>
    <w:p>
      <w:r>
        <w:t>Proposed provider targets: immediate verbal escalation for any urgent or potentially reportable incident; written entry before the end of the shift and within 24 hours where safe to do so; initial manager assessment within 24 hours. These are organisational targets. They do not permit delaying emergency care or statutory notification.</w:t>
      </w:r>
    </w:p>
    <w:p>
      <w:pPr>
        <w:pStyle w:val="Heading2"/>
      </w:pPr>
      <w:r>
        <w:t>Reporting clock</w:t>
      </w:r>
    </w:p>
    <w:p>
      <w:r>
        <w:t>Record the worker’s awareness time and the time the manager/key personnel were informed. Do not wait for the next business day, an investigation outcome or a complete clinical report to escalate. The statutory Commission timeframes are set out on page 9. The notifier should retain the submitted form, receipt, deadline calculation and any regulator directions. [S2]</w:t>
      </w:r>
    </w:p>
    <w:p>
      <w:pPr>
        <w:pStyle w:val="Heading2"/>
      </w:pPr>
      <w:r>
        <w:t>Participant involvement</w:t>
      </w:r>
    </w:p>
    <w:p>
      <w:r>
        <w:t>Ask how the participant wishes to be contacted, who may support them and what outcomes matter to them. Explain what can be shared and when. A family member or nominee is not automatically authorised to receive all private information. Check consent, lawful authority and whether disclosure could create risk.</w:t>
      </w:r>
    </w:p>
    <w:p>
      <w:pPr>
        <w:pStyle w:val="Heading2"/>
      </w:pPr>
      <w:r>
        <w:t>Learning from the event</w:t>
      </w:r>
    </w:p>
    <w:p>
      <w:r>
        <w:t>A manager should examine both the immediate event and the conditions that made it possible. Examples include a poor handover, an inaccessible support plan, unsuitable equipment, an unclear delegation or an uncovered shift. Assign an owner and a due date to each action, then test whether the risk has reduced.</w:t>
      </w:r>
    </w:p>
    <w:p>
      <w:r>
        <w:br w:type="page"/>
      </w:r>
    </w:p>
    <w:p>
      <w:pPr>
        <w:pStyle w:val="Heading1"/>
      </w:pPr>
      <w:r>
        <w:t>Training scenarios and knowledge check</w:t>
      </w:r>
    </w:p>
    <w:p>
      <w:pPr>
        <w:pStyle w:val="Heading2"/>
      </w:pPr>
      <w:r>
        <w:t>Scenario A suspected abuse</w:t>
      </w:r>
    </w:p>
    <w:p>
      <w:r>
        <w:t>During an OT visit a participant says a night worker struck them. The participant has bruising and fears the worker will return tonight. Set out your first three actions, the escalation pathway and the evidence to preserve.</w:t>
      </w:r>
    </w:p>
    <w:p>
      <w:pPr>
        <w:pStyle w:val="Heading2"/>
      </w:pPr>
      <w:r>
        <w:t>Scenario B medication omission</w:t>
      </w:r>
    </w:p>
    <w:p>
      <w:r>
        <w:t>A morning dose was missed. The participant currently appears well. Explain who provides clinical advice, what you record and how a manager determines whether Commission reporting is required.</w:t>
      </w:r>
    </w:p>
    <w:p>
      <w:pPr>
        <w:pStyle w:val="Heading2"/>
      </w:pPr>
      <w:r>
        <w:t>Scenario C possible restrictive practice</w:t>
      </w:r>
    </w:p>
    <w:p>
      <w:r>
        <w:t>A worker locks a participant alone in a room to stop them leaving. There is no relevant authorisation or behaviour support plan. Explain the safe response and the reporting timeframe with and without harm.</w:t>
      </w:r>
    </w:p>
    <w:p>
      <w:pPr>
        <w:pStyle w:val="Heading2"/>
      </w:pPr>
      <w:r>
        <w:t>Scenario D interrupted staffing</w:t>
      </w:r>
    </w:p>
    <w:p>
      <w:r>
        <w:t>A participant who requires essential personal care receives no replacement worker after a cancellation. The manager discovers the missed support that afternoon. Explain the immediate care arrangements and how neglect is assessed.</w:t>
      </w:r>
    </w:p>
    <w:p>
      <w:pPr>
        <w:pStyle w:val="Heading2"/>
      </w:pPr>
      <w:r>
        <w:t>Knowledge check</w:t>
      </w:r>
    </w:p>
    <w:p>
      <w:pPr>
        <w:ind w:left="259" w:hanging="259"/>
      </w:pPr>
      <w:r>
        <w:t>1. Does an unproven allegation need to be escalated? Explain why.</w:t>
      </w:r>
    </w:p>
    <w:p>
      <w:pPr>
        <w:ind w:left="259" w:hanging="259"/>
      </w:pPr>
      <w:r>
        <w:t>2. Do you wait for an investigation to finish before notifying a reportable incident?</w:t>
      </w:r>
    </w:p>
    <w:p>
      <w:pPr>
        <w:ind w:left="259" w:hanging="259"/>
      </w:pPr>
      <w:r>
        <w:t>3. Which two reporting timeframes are most commonly used for Commission notifications?</w:t>
      </w:r>
    </w:p>
    <w:p>
      <w:pPr>
        <w:ind w:left="259" w:hanging="259"/>
      </w:pPr>
      <w:r>
        <w:t>4. Who is responsible for deciding and submitting a Commission notification in your organisation?</w:t>
      </w:r>
    </w:p>
    <w:p>
      <w:pPr>
        <w:ind w:left="259" w:hanging="259"/>
      </w:pPr>
      <w:r>
        <w:t>5. What should you do if the supervisor is the person implicated?</w:t>
      </w:r>
    </w:p>
    <w:p>
      <w:pPr>
        <w:ind w:left="259" w:hanging="259"/>
      </w:pPr>
      <w:r>
        <w:t>6. What should a factual incident record contain? Give at least six items.</w:t>
      </w:r>
    </w:p>
    <w:p>
      <w:pPr>
        <w:ind w:left="259" w:hanging="259"/>
      </w:pPr>
      <w:r>
        <w:t>7. Can a participant’s family automatically receive every detail?</w:t>
      </w:r>
    </w:p>
    <w:p>
      <w:pPr>
        <w:ind w:left="259" w:hanging="259"/>
      </w:pPr>
      <w:r>
        <w:t>8. Does reporting to the NDIS Commission replace a police or child protection report?</w:t>
      </w:r>
    </w:p>
    <w:p>
      <w:pPr>
        <w:ind w:left="259" w:hanging="259"/>
      </w:pPr>
      <w:r>
        <w:t>9. What is the incident record retention minimum, and why might it be longer?</w:t>
      </w:r>
    </w:p>
    <w:p>
      <w:pPr>
        <w:ind w:left="259" w:hanging="259"/>
      </w:pPr>
      <w:r>
        <w:t>10. When should a corrective action be treated as complete?</w:t>
      </w:r>
    </w:p>
    <w:p>
      <w:r>
        <w:t>Proposed pass standard: at least 8 of 10 responses correct, with questions 1, 2, 3, 5 and 8 correct, plus a satisfactory practical demonstration. Coach and reassess missed critical responses before independent work. This is an internal training standard.</w:t>
      </w:r>
    </w:p>
    <w:p>
      <w:r>
        <w:br w:type="page"/>
      </w:r>
    </w:p>
    <w:p>
      <w:pPr>
        <w:pStyle w:val="Heading1"/>
      </w:pPr>
      <w:r>
        <w:t>Facilitator answers and practical assessment</w:t>
      </w:r>
    </w:p>
    <w:p>
      <w:pPr>
        <w:pStyle w:val="Heading2"/>
      </w:pPr>
      <w:r>
        <w:t>Scenario response guide</w:t>
      </w:r>
    </w:p>
    <w:p>
      <w:r>
        <w:t>A: arrange medical review or 000 if urgent, prevent unsafe contact, support the disclosure and contact the Incident Manager. Suspected abuse connected with supports is a 24-hour category for a registered provider. Preserve rosters, notes, messages and the participant’s words. Do not wait for proof.</w:t>
      </w:r>
    </w:p>
    <w:p>
      <w:r>
        <w:t>B: obtain prompt advice from the authorised clinician or pharmacist and follow the participant’s care plan; do not double the next dose independently. Record the medication, missed time and advice. A medication error is not automatically reportable; assess serious injury, abuse or neglect and other applicable categories.</w:t>
      </w:r>
    </w:p>
    <w:p>
      <w:r>
        <w:t>C: make the participant safe, summon support and stop the unsafe practice without causing further danger. Refer for restrictive practice assessment. Use the 5-business-day pathway if unauthorised and without harm; use the 24-hour pathway when harm has resulted, following current Commission guidance. [S2]</w:t>
      </w:r>
    </w:p>
    <w:p>
      <w:r>
        <w:t>D: arrange the essential support immediately, assess clinical needs and other people affected, and preserve scheduling records. Assess possible neglect rather than assuming every cancellation is reportable.</w:t>
      </w:r>
    </w:p>
    <w:p>
      <w:pPr>
        <w:pStyle w:val="Heading2"/>
      </w:pPr>
      <w:r>
        <w:t>Knowledge check answers</w:t>
      </w:r>
    </w:p>
    <w:p>
      <w:r>
        <w:t>1 Yes; allegations are included. 2 No. 3 24 hours and 5 business days, as applicable. 4 The designated notifier and backup; key personnel retain responsibility. 5 Use independent escalation and external authorities if necessary. 6 Time, place, people, observations/allegation, impact, actions, witnesses and author details. 7 No; check consent/authority and safety. 8 No. 9 At least 7 years under the relevant record and notification rules, with longer applicable obligations or legal holds. 10 When implementation and effectiveness have been checked, with participant feedback considered. [S2, S4, S5]</w:t>
      </w:r>
    </w:p>
    <w:p>
      <w:pPr>
        <w:pStyle w:val="Heading2"/>
      </w:pPr>
      <w:r>
        <w:t>Observed practical assessment</w:t>
      </w:r>
    </w:p>
    <w:p>
      <w:pPr>
        <w:pStyle w:val="ListBullet"/>
      </w:pPr>
      <w:r>
        <w:t>Learner identifies the emergency and appropriate first response.</w:t>
      </w:r>
    </w:p>
    <w:p>
      <w:pPr>
        <w:pStyle w:val="ListBullet"/>
      </w:pPr>
      <w:r>
        <w:t>Learner makes a clear phone escalation and knows the backup contact.</w:t>
      </w:r>
    </w:p>
    <w:p>
      <w:pPr>
        <w:pStyle w:val="ListBullet"/>
      </w:pPr>
      <w:r>
        <w:t>Learner uses respectful, accessible participant communication.</w:t>
      </w:r>
    </w:p>
    <w:p>
      <w:pPr>
        <w:pStyle w:val="ListBullet"/>
      </w:pPr>
      <w:r>
        <w:t>Learner completes an accurate fictional record without inventing facts.</w:t>
      </w:r>
    </w:p>
    <w:p>
      <w:pPr>
        <w:pStyle w:val="ListBullet"/>
      </w:pPr>
      <w:r>
        <w:t>Learner identifies the likely reporting pathway and flags uncertainty.</w:t>
      </w:r>
    </w:p>
    <w:p>
      <w:r>
        <w:t>Assessor: __________________  Learner: __________________  Date: __________</w:t>
        <w:br/>
        <w:t>Result: Satisfactory / Further coaching required</w:t>
        <w:br/>
        <w:t>Coaching and reassessment date: ________________________________________</w:t>
      </w:r>
    </w:p>
    <w:p>
      <w:r>
        <w:br w:type="page"/>
      </w:r>
    </w:p>
    <w:p>
      <w:pPr>
        <w:pStyle w:val="Heading1"/>
      </w:pPr>
      <w:r>
        <w:t>Statutory notification timeframes</w:t>
      </w:r>
    </w:p>
    <w:p>
      <w:r>
        <w:t>These Commission notification duties apply to registered providers for incidents or allegations connected with delivery of supports or services. Timeframes run from provider awareness; record and escalate immediately. The 24-hour period includes weekends and public holidays. [S2]</w:t>
      </w:r>
    </w:p>
    <w:tbl>
      <w:tblPr>
        <w:tblW w:type="auto" w:w="0"/>
        <w:tblLayout w:type="fixed"/>
        <w:tblLook w:firstColumn="1" w:firstRow="1" w:lastColumn="0" w:lastRow="0" w:noHBand="0" w:noVBand="1" w:val="04A0"/>
      </w:tblPr>
      <w:tblGrid>
        <w:gridCol w:w="7344"/>
        <w:gridCol w:w="2592"/>
      </w:tblGrid>
      <w:tr>
        <w:trPr>
          <w:cantSplit/>
          <w:tblHeader/>
        </w:trPr>
        <w:tc>
          <w:tcPr>
            <w:tcW w:type="dxa" w:w="7344"/>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Reportable category</w:t>
            </w:r>
          </w:p>
        </w:tc>
        <w:tc>
          <w:tcPr>
            <w:tcW w:type="dxa" w:w="2592"/>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Initial notification</w:t>
            </w:r>
          </w:p>
        </w:tc>
      </w:tr>
      <w:tr>
        <w:trPr>
          <w:cantSplit/>
        </w:trPr>
        <w:tc>
          <w:tcPr>
            <w:tcW w:type="dxa" w:w="734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Death of a person with disability</w:t>
            </w:r>
          </w:p>
        </w:tc>
        <w:tc>
          <w:tcPr>
            <w:tcW w:type="dxa" w:w="259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Within 24 hours</w:t>
            </w:r>
          </w:p>
        </w:tc>
      </w:tr>
      <w:tr>
        <w:trPr>
          <w:cantSplit/>
        </w:trPr>
        <w:tc>
          <w:tcPr>
            <w:tcW w:type="dxa" w:w="7344"/>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Serious injury of a person with disability</w:t>
            </w:r>
          </w:p>
        </w:tc>
        <w:tc>
          <w:tcPr>
            <w:tcW w:type="dxa" w:w="259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Within 24 hours</w:t>
            </w:r>
          </w:p>
        </w:tc>
      </w:tr>
      <w:tr>
        <w:trPr>
          <w:cantSplit/>
        </w:trPr>
        <w:tc>
          <w:tcPr>
            <w:tcW w:type="dxa" w:w="734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Abuse or neglect of a person with disability</w:t>
            </w:r>
          </w:p>
        </w:tc>
        <w:tc>
          <w:tcPr>
            <w:tcW w:type="dxa" w:w="259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Within 24 hours</w:t>
            </w:r>
          </w:p>
        </w:tc>
      </w:tr>
      <w:tr>
        <w:trPr>
          <w:cantSplit/>
        </w:trPr>
        <w:tc>
          <w:tcPr>
            <w:tcW w:type="dxa" w:w="7344"/>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Unlawful sexual or physical contact or assault</w:t>
            </w:r>
          </w:p>
        </w:tc>
        <w:tc>
          <w:tcPr>
            <w:tcW w:type="dxa" w:w="259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Within 24 hours</w:t>
            </w:r>
          </w:p>
        </w:tc>
      </w:tr>
      <w:tr>
        <w:trPr>
          <w:cantSplit/>
        </w:trPr>
        <w:tc>
          <w:tcPr>
            <w:tcW w:type="dxa" w:w="734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Sexual misconduct against or in the presence of a person with disability including grooming</w:t>
            </w:r>
          </w:p>
        </w:tc>
        <w:tc>
          <w:tcPr>
            <w:tcW w:type="dxa" w:w="259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Within 24 hours</w:t>
            </w:r>
          </w:p>
        </w:tc>
      </w:tr>
      <w:tr>
        <w:trPr>
          <w:cantSplit/>
        </w:trPr>
        <w:tc>
          <w:tcPr>
            <w:tcW w:type="dxa" w:w="7344"/>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Unauthorised restrictive practice or use inconsistent with a behaviour support plan</w:t>
            </w:r>
          </w:p>
        </w:tc>
        <w:tc>
          <w:tcPr>
            <w:tcW w:type="dxa" w:w="259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Within 5 business days; within 24 hours if harm resulted</w:t>
            </w:r>
          </w:p>
        </w:tc>
      </w:tr>
    </w:tbl>
    <w:p/>
    <w:p>
      <w:pPr>
        <w:pStyle w:val="Heading2"/>
      </w:pPr>
      <w:r>
        <w:t>Further information</w:t>
      </w:r>
    </w:p>
    <w:p>
      <w:r>
        <w:t>The 5 Day Form is due within 5 business days of awareness for additional information and actions. For unauthorised restrictive practice without harm, this is ordinarily the only initial form required. Follow the Commission’s current approved forms. [S2]</w:t>
      </w:r>
    </w:p>
    <w:p>
      <w:pPr>
        <w:pStyle w:val="Heading2"/>
      </w:pPr>
      <w:r>
        <w:t>Updates and final reports</w:t>
      </w:r>
    </w:p>
    <w:p>
      <w:r>
        <w:t>Notify significant new information that changes the reportable category or identifies a further reportable incident as soon as reasonably practicable, in writing. A final report is required when the Commissioner requests it. Rule 24 provides for 60 business days after the relevant five-day notification under rule 20(4) or 21, or a longer period specified. Record the Commission’s actual direction and due date. [S4]</w:t>
      </w:r>
    </w:p>
    <w:p>
      <w:pPr>
        <w:pStyle w:val="Heading2"/>
      </w:pPr>
      <w:r>
        <w:t>Classification safeguards</w:t>
      </w:r>
    </w:p>
    <w:p>
      <w:r>
        <w:t>Rule 16 contains limited exceptions for negligible unlawful physical contact and some restrictive practice use where a jurisdiction has no authorisation process. Workers must escalate rather than apply these exceptions themselves. A trained manager should confirm applicability against the Rules and seek Commission advice if uncertain. [S4]</w:t>
      </w:r>
    </w:p>
    <w:p>
      <w:r>
        <w:t>Internal response targets in this pack are deliberately earlier than the legal deadlines. A low internal risk rating does not cancel a statutory reporting obligation.</w:t>
      </w:r>
    </w:p>
    <w:p>
      <w:r>
        <w:br w:type="page"/>
      </w:r>
    </w:p>
    <w:p>
      <w:pPr>
        <w:pStyle w:val="Heading1"/>
      </w:pPr>
      <w:r>
        <w:t>IM01 Incident management and escalation</w:t>
      </w:r>
    </w:p>
    <w:p>
      <w:r>
        <w:t>Owner: Incident Manager   |   Applies to: employees, contractors, students and volunteers</w:t>
      </w:r>
    </w:p>
    <w:p>
      <w:pPr>
        <w:pStyle w:val="Heading2"/>
      </w:pPr>
      <w:r>
        <w:t>Policy</w:t>
      </w:r>
    </w:p>
    <w:p>
      <w:r>
        <w:t>We respond to incidents and near misses promptly, protect participants and maintain one secure incident file. Workers report concerns without waiting for certainty or permission from the person implicated.</w:t>
      </w:r>
    </w:p>
    <w:p>
      <w:pPr>
        <w:pStyle w:val="Heading2"/>
      </w:pPr>
      <w:r>
        <w:t>Procedure</w:t>
      </w:r>
    </w:p>
    <w:p>
      <w:pPr>
        <w:ind w:left="259" w:hanging="259"/>
      </w:pPr>
      <w:r>
        <w:t>1. Attend to immediate safety and emergency care. Identify who remains at risk and arrange safe support coverage.</w:t>
      </w:r>
    </w:p>
    <w:p>
      <w:pPr>
        <w:ind w:left="259" w:hanging="259"/>
      </w:pPr>
      <w:r>
        <w:t>2. Notify the supervisor or on-call manager immediately for serious or potentially reportable events. If unavailable, use the backup; if implicated, use independent escalation.</w:t>
      </w:r>
    </w:p>
    <w:p>
      <w:pPr>
        <w:ind w:left="259" w:hanging="259"/>
      </w:pPr>
      <w:r>
        <w:t>3. Create a unique incident ID and capture occurrence, discovery and escalation times. The worker submits the initial record before shift end and within 24 hours where safe to do so; urgent escalation occurs first.</w:t>
      </w:r>
    </w:p>
    <w:p>
      <w:pPr>
        <w:ind w:left="259" w:hanging="259"/>
      </w:pPr>
      <w:r>
        <w:t>4. The Incident Manager triages risk and reportability, identifies the participant’s preferred support and assigns a case owner. Seek clinical advice where needed.</w:t>
      </w:r>
    </w:p>
    <w:p>
      <w:pPr>
        <w:ind w:left="259" w:hanging="259"/>
      </w:pPr>
      <w:r>
        <w:t>5. Assess prevention, adequacy of response, remedial action and external notification. Document reasons and participant views.</w:t>
      </w:r>
    </w:p>
    <w:p>
      <w:pPr>
        <w:ind w:left="259" w:hanging="259"/>
      </w:pPr>
      <w:r>
        <w:t>6. Keep the file open until support, required reporting and follow-up actions are assigned and monitored. Reopen if new evidence or risk emerges.</w:t>
      </w:r>
    </w:p>
    <w:p>
      <w:pPr>
        <w:pStyle w:val="Heading2"/>
      </w:pPr>
      <w:r>
        <w:t>Records and oversight</w:t>
      </w:r>
    </w:p>
    <w:p>
      <w:r>
        <w:t>Keep the initial record, triage decision, support plan, notification tracker and closure approval. Review unacknowledged reports each working day and urgent incidents through the on-call roster.</w:t>
      </w:r>
    </w:p>
    <w:p>
      <w:r>
        <w:t>Basis: S1 and S3. Operational steps are proposed provider controls unless identified as statutory requirements.</w:t>
      </w:r>
    </w:p>
    <w:p>
      <w:r>
        <w:br w:type="page"/>
      </w:r>
    </w:p>
    <w:p>
      <w:pPr>
        <w:pStyle w:val="Heading1"/>
      </w:pPr>
      <w:r>
        <w:t>IM02 Reportable incident notification</w:t>
      </w:r>
    </w:p>
    <w:p>
      <w:r>
        <w:t>Owner: Commission notifier   |   Applies to: employees, contractors, students and volunteers</w:t>
      </w:r>
    </w:p>
    <w:p>
      <w:pPr>
        <w:pStyle w:val="Heading2"/>
      </w:pPr>
      <w:r>
        <w:t>Policy</w:t>
      </w:r>
    </w:p>
    <w:p>
      <w:r>
        <w:t>The designated notifier and backup prepare and submit required notifications for registered-provider incidents. Key personnel oversee compliance. Notification proceeds on known information while assessment continues.</w:t>
      </w:r>
    </w:p>
    <w:p>
      <w:pPr>
        <w:pStyle w:val="Heading2"/>
      </w:pPr>
      <w:r>
        <w:t>Procedure</w:t>
      </w:r>
    </w:p>
    <w:p>
      <w:pPr>
        <w:ind w:left="259" w:hanging="259"/>
      </w:pPr>
      <w:r>
        <w:t>1. Check the relationship to supports and the reportable categories on page 9. Record the factual basis, any uncertainty and awareness time.</w:t>
      </w:r>
    </w:p>
    <w:p>
      <w:pPr>
        <w:ind w:left="259" w:hanging="259"/>
      </w:pPr>
      <w:r>
        <w:t>2. Calculate both the immediate and five-business-day deadlines. Confirm local public holidays and obtain a second-person check of the due date.</w:t>
      </w:r>
    </w:p>
    <w:p>
      <w:pPr>
        <w:ind w:left="259" w:hanging="259"/>
      </w:pPr>
      <w:r>
        <w:t>3. Submit the current Commission form with the known facts and actions. Mark unknown details honestly. Do not wait for full evidence or internal approval if that would breach the deadline.</w:t>
      </w:r>
    </w:p>
    <w:p>
      <w:pPr>
        <w:ind w:left="259" w:hanging="259"/>
      </w:pPr>
      <w:r>
        <w:t>4. Retain the submission, acknowledgement and reference. Verify that the report was submitted rather than merely saved as a draft.</w:t>
      </w:r>
    </w:p>
    <w:p>
      <w:pPr>
        <w:ind w:left="259" w:hanging="259"/>
      </w:pPr>
      <w:r>
        <w:t>5. Complete the five-day information and significant updates. Track any investigation directions or requested final report separately.</w:t>
      </w:r>
    </w:p>
    <w:p>
      <w:pPr>
        <w:ind w:left="259" w:hanging="259"/>
      </w:pPr>
      <w:r>
        <w:t>6. If late or affected by a portal failure, escalate to the chief executive, preserve screenshots and contact incidentintake@ndiscommission.gov.au for guidance. Follow current Commission outage directions and submit as soon as available. Do not assume an email or outage automatically discharges the statutory duty.</w:t>
      </w:r>
    </w:p>
    <w:p>
      <w:pPr>
        <w:pStyle w:val="Heading2"/>
      </w:pPr>
      <w:r>
        <w:t>Records and oversight</w:t>
      </w:r>
    </w:p>
    <w:p>
      <w:r>
        <w:t>Use Form F2 to track submissions and regulator directions. Test notifier access and backup access regularly without submitting fictional notifications.</w:t>
      </w:r>
    </w:p>
    <w:p>
      <w:r>
        <w:t>Basis: S2 and S4. Operational steps are proposed provider controls unless identified as statutory requirements.</w:t>
      </w:r>
    </w:p>
    <w:p>
      <w:r>
        <w:br w:type="page"/>
      </w:r>
    </w:p>
    <w:p>
      <w:pPr>
        <w:pStyle w:val="Heading1"/>
      </w:pPr>
      <w:r>
        <w:t>IM03 Safeguarding and abuse response</w:t>
      </w:r>
    </w:p>
    <w:p>
      <w:r>
        <w:t>Owner: Safeguarding lead   |   Applies to: employees, contractors, students and volunteers</w:t>
      </w:r>
    </w:p>
    <w:p>
      <w:pPr>
        <w:pStyle w:val="Heading2"/>
      </w:pPr>
      <w:r>
        <w:t>Policy</w:t>
      </w:r>
    </w:p>
    <w:p>
      <w:r>
        <w:t>We act on suspected violence, abuse, neglect, exploitation, sexual misconduct and grooming. Safeguarding decisions prioritise the participant’s safety, communication needs and access to independent support.</w:t>
      </w:r>
    </w:p>
    <w:p>
      <w:pPr>
        <w:pStyle w:val="Heading2"/>
      </w:pPr>
      <w:r>
        <w:t>Procedure</w:t>
      </w:r>
    </w:p>
    <w:p>
      <w:pPr>
        <w:ind w:left="259" w:hanging="259"/>
      </w:pPr>
      <w:r>
        <w:t>1. Listen without leading questions. Record disclosures in the participant’s words and distinguish observed injury from the allegation.</w:t>
      </w:r>
    </w:p>
    <w:p>
      <w:pPr>
        <w:ind w:left="259" w:hanging="259"/>
      </w:pPr>
      <w:r>
        <w:t>2. Provide urgent care and arrange a safe alternative to contact with an alleged offender. Consider other participants who may be at risk.</w:t>
      </w:r>
    </w:p>
    <w:p>
      <w:pPr>
        <w:ind w:left="259" w:hanging="259"/>
      </w:pPr>
      <w:r>
        <w:t>3. Report immediately to the Incident Manager. Suspected or alleged abuse or neglect connected with supports is assessed for the registered-provider 24-hour pathway.</w:t>
      </w:r>
    </w:p>
    <w:p>
      <w:pPr>
        <w:ind w:left="259" w:hanging="259"/>
      </w:pPr>
      <w:r>
        <w:t>4. Assess police, child protection and other reporting duties separately. Do not discourage a participant from contacting police or an advocate.</w:t>
      </w:r>
    </w:p>
    <w:p>
      <w:pPr>
        <w:ind w:left="259" w:hanging="259"/>
      </w:pPr>
      <w:r>
        <w:t>5. Preserve financial records, care notes, rosters, communications and other relevant evidence. Do not confront the alleged offender or conduct repeated interviews.</w:t>
      </w:r>
    </w:p>
    <w:p>
      <w:pPr>
        <w:ind w:left="259" w:hanging="259"/>
      </w:pPr>
      <w:r>
        <w:t>6. Arrange clinical review, advocacy and longer-term safety planning with the participant. Management independently reviews staffing and access controls; protect the reporter from retaliation.</w:t>
      </w:r>
    </w:p>
    <w:p>
      <w:pPr>
        <w:pStyle w:val="Heading2"/>
      </w:pPr>
      <w:r>
        <w:t>Records and oversight</w:t>
      </w:r>
    </w:p>
    <w:p>
      <w:r>
        <w:t>Keep the disclosure record, safety decisions, authority referrals and participant preferences in restricted-access records. Assess patterns of injuries, unexplained financial losses and repeated missed essential care.</w:t>
      </w:r>
    </w:p>
    <w:p>
      <w:r>
        <w:t>Basis: S1 S2 S6 and S9. Operational steps are proposed provider controls unless identified as statutory requirements.</w:t>
      </w:r>
    </w:p>
    <w:p>
      <w:r>
        <w:br w:type="page"/>
      </w:r>
    </w:p>
    <w:p>
      <w:pPr>
        <w:pStyle w:val="Heading1"/>
      </w:pPr>
      <w:r>
        <w:t>IM04 Participant support and open disclosure</w:t>
      </w:r>
    </w:p>
    <w:p>
      <w:r>
        <w:t>Owner: Participant support lead   |   Applies to: employees, contractors, students and volunteers</w:t>
      </w:r>
    </w:p>
    <w:p>
      <w:pPr>
        <w:pStyle w:val="Heading2"/>
      </w:pPr>
      <w:r>
        <w:t>Policy</w:t>
      </w:r>
    </w:p>
    <w:p>
      <w:r>
        <w:t>We explain incidents honestly and respectfully, involve the participant in decisions and offer communication assistance and independent advocacy. Disclosure is planned to avoid further harm and protect privacy.</w:t>
      </w:r>
    </w:p>
    <w:p>
      <w:pPr>
        <w:pStyle w:val="Heading2"/>
      </w:pPr>
      <w:r>
        <w:t>Procedure</w:t>
      </w:r>
    </w:p>
    <w:p>
      <w:pPr>
        <w:ind w:left="259" w:hanging="259"/>
      </w:pPr>
      <w:r>
        <w:t>1. Ask about immediate needs, preferred communication, cultural needs and the person they want involved. Offer an interpreter or communication aid.</w:t>
      </w:r>
    </w:p>
    <w:p>
      <w:pPr>
        <w:ind w:left="259" w:hanging="259"/>
      </w:pPr>
      <w:r>
        <w:t>2. Check consent and any representative’s legal authority. Do not notify an implicated family member or worker in a way that creates further risk.</w:t>
      </w:r>
    </w:p>
    <w:p>
      <w:pPr>
        <w:ind w:left="259" w:hanging="259"/>
      </w:pPr>
      <w:r>
        <w:t>3. Explain known facts, immediate safety actions and what remains uncertain. Express concern and apologise for harm where appropriate; do not speculate or blame.</w:t>
      </w:r>
    </w:p>
    <w:p>
      <w:pPr>
        <w:ind w:left="259" w:hanging="259"/>
      </w:pPr>
      <w:r>
        <w:t>4. Explain the investigation and reporting process, who will contact the participant and how they can make a complaint or access an advocate.</w:t>
      </w:r>
    </w:p>
    <w:p>
      <w:pPr>
        <w:ind w:left="259" w:hanging="259"/>
      </w:pPr>
      <w:r>
        <w:t>5. Agree an update schedule and preferred channel. Record questions and requested outcomes; tell the participant if a promised update is delayed.</w:t>
      </w:r>
    </w:p>
    <w:p>
      <w:pPr>
        <w:ind w:left="259" w:hanging="259"/>
      </w:pPr>
      <w:r>
        <w:t>6. Provide an accessible account of findings and actions, subject to lawful limits. Check that the person understands and ask whether they feel safe with the proposed arrangements.</w:t>
      </w:r>
    </w:p>
    <w:p>
      <w:pPr>
        <w:pStyle w:val="Heading2"/>
      </w:pPr>
      <w:r>
        <w:t>Records and oversight</w:t>
      </w:r>
    </w:p>
    <w:p>
      <w:r>
        <w:t>Maintain a communication log recording who participated, consent/authority, information shared, preferences and follow-up. Provide the incident process in accessible formats. The summary in Form F6 should be adapted for individual needs.</w:t>
      </w:r>
    </w:p>
    <w:p>
      <w:r>
        <w:t>Basis: S1 and S3. Operational steps are proposed provider controls unless identified as statutory requirements.</w:t>
      </w:r>
    </w:p>
    <w:p>
      <w:r>
        <w:br w:type="page"/>
      </w:r>
    </w:p>
    <w:p>
      <w:pPr>
        <w:pStyle w:val="Heading1"/>
      </w:pPr>
      <w:r>
        <w:t>IM05 Investigation and procedural fairness</w:t>
      </w:r>
    </w:p>
    <w:p>
      <w:r>
        <w:t>Owner: Independent investigator   |   Applies to: employees, contractors, students and volunteers</w:t>
      </w:r>
    </w:p>
    <w:p>
      <w:pPr>
        <w:pStyle w:val="Heading2"/>
      </w:pPr>
      <w:r>
        <w:t>Policy</w:t>
      </w:r>
    </w:p>
    <w:p>
      <w:r>
        <w:t>Investigations establish what happened, its impact and the service conditions that contributed. The investigator is competent and free of conflicts. Allegations remain allegations until findings are supported.</w:t>
      </w:r>
    </w:p>
    <w:p>
      <w:pPr>
        <w:pStyle w:val="Heading2"/>
      </w:pPr>
      <w:r>
        <w:t>Procedure</w:t>
      </w:r>
    </w:p>
    <w:p>
      <w:pPr>
        <w:ind w:left="259" w:hanging="259"/>
      </w:pPr>
      <w:r>
        <w:t>1. Define the scope, issues, evidence, timeframe and decision-maker. Use independent external investigation for serious, complex or conflicted matters, or where directed by a regulator.</w:t>
      </w:r>
    </w:p>
    <w:p>
      <w:pPr>
        <w:ind w:left="259" w:hanging="259"/>
      </w:pPr>
      <w:r>
        <w:t>2. Coordinate with police and regulators before interviews or evidence handling that could prejudice their work. Keep immediate safeguarding active while an investigation is paused.</w:t>
      </w:r>
    </w:p>
    <w:p>
      <w:pPr>
        <w:ind w:left="259" w:hanging="259"/>
      </w:pPr>
      <w:r>
        <w:t>3. Secure original records and log evidence access. Interview separately using accessible communication. Explain confidentiality limits and allow an appropriate support person.</w:t>
      </w:r>
    </w:p>
    <w:p>
      <w:pPr>
        <w:ind w:left="259" w:hanging="259"/>
      </w:pPr>
      <w:r>
        <w:t>4. Give the subject of an allegation sufficient information and a fair opportunity to respond when safe and consistent with external directions. Record their response and consider it impartially.</w:t>
      </w:r>
    </w:p>
    <w:p>
      <w:pPr>
        <w:ind w:left="259" w:hanging="259"/>
      </w:pPr>
      <w:r>
        <w:t>5. Assess evidence, contradictions and limits. For internal findings generally use the balance of probabilities, with appropriate care for serious allegations; follow applicable legal and regulator requirements.</w:t>
      </w:r>
    </w:p>
    <w:p>
      <w:pPr>
        <w:ind w:left="259" w:hanging="259"/>
      </w:pPr>
      <w:r>
        <w:t>6. Prepare findings, contributing causes and corrective recommendations. A separate authorised decision-maker approves action and participant communication. Keep HR action proportionate and legally reviewed when needed.</w:t>
      </w:r>
    </w:p>
    <w:p>
      <w:pPr>
        <w:pStyle w:val="Heading2"/>
      </w:pPr>
      <w:r>
        <w:t>Records and oversight</w:t>
      </w:r>
    </w:p>
    <w:p>
      <w:r>
        <w:t>Use Form F3. Retain scope, conflict declarations, evidence register, interview notes, findings and approval. Record reasons for inconclusive findings and remaining safeguards.</w:t>
      </w:r>
    </w:p>
    <w:p>
      <w:r>
        <w:t>Basis: S3 and S5. Operational steps are proposed provider controls unless identified as statutory requirements.</w:t>
      </w:r>
    </w:p>
    <w:p>
      <w:r>
        <w:br w:type="page"/>
      </w:r>
    </w:p>
    <w:p>
      <w:pPr>
        <w:pStyle w:val="Heading1"/>
      </w:pPr>
      <w:r>
        <w:t>IM06 Restrictive practice incident response</w:t>
      </w:r>
    </w:p>
    <w:p>
      <w:r>
        <w:t>Owner: Behaviour support lead   |   Applies to: employees, contractors, students and volunteers</w:t>
      </w:r>
    </w:p>
    <w:p>
      <w:pPr>
        <w:pStyle w:val="Heading2"/>
      </w:pPr>
      <w:r>
        <w:t>Policy</w:t>
      </w:r>
    </w:p>
    <w:p>
      <w:r>
        <w:t>Potential restrictive practice incidents receive immediate safety review. This response policy does not authorise restraint, seclusion, locked access or medication to control behaviour. Staff follow the person’s lawful, current arrangements and seek specialist advice.</w:t>
      </w:r>
    </w:p>
    <w:p>
      <w:pPr>
        <w:pStyle w:val="Heading2"/>
      </w:pPr>
      <w:r>
        <w:t>Procedure</w:t>
      </w:r>
    </w:p>
    <w:p>
      <w:pPr>
        <w:ind w:left="259" w:hanging="259"/>
      </w:pPr>
      <w:r>
        <w:t>1. Identify possible seclusion, chemical restraint, mechanical restraint, physical restraint or environmental restraint. Record what was actually done, why, duration and effect.</w:t>
      </w:r>
    </w:p>
    <w:p>
      <w:pPr>
        <w:ind w:left="259" w:hanging="259"/>
      </w:pPr>
      <w:r>
        <w:t>2. Make the participant safe and seek medical review for injury or distress. Stop unsafe or unauthorised use with competent support and without creating additional danger.</w:t>
      </w:r>
    </w:p>
    <w:p>
      <w:pPr>
        <w:ind w:left="259" w:hanging="259"/>
      </w:pPr>
      <w:r>
        <w:t>3. Check the behaviour support plan, state or territory authorisation requirements and the actual conditions of use. Consent alone is not a substitute for applicable authorisation.</w:t>
      </w:r>
    </w:p>
    <w:p>
      <w:pPr>
        <w:ind w:left="259" w:hanging="259"/>
      </w:pPr>
      <w:r>
        <w:t>4. Escalate immediately and assess reportability. Apply the page 9 pathway for unauthorised or plan-inconsistent use, including the 24-hour harm pathway. Check limited jurisdictional exceptions with a trained specialist.</w:t>
      </w:r>
    </w:p>
    <w:p>
      <w:pPr>
        <w:ind w:left="259" w:hanging="259"/>
      </w:pPr>
      <w:r>
        <w:t>5. Contact the behaviour support practitioner and implementing-provider lead to review safer alternatives, staff competence and any required plan or authorisation changes.</w:t>
      </w:r>
    </w:p>
    <w:p>
      <w:pPr>
        <w:ind w:left="259" w:hanging="259"/>
      </w:pPr>
      <w:r>
        <w:t>6. Keep incident notification distinct from routine restrictive practice reporting. Complete each applicable reporting stream; ongoing or repeated use is not excused by an earlier notification.</w:t>
      </w:r>
    </w:p>
    <w:p>
      <w:pPr>
        <w:pStyle w:val="Heading2"/>
      </w:pPr>
      <w:r>
        <w:t>Records and oversight</w:t>
      </w:r>
    </w:p>
    <w:p>
      <w:r>
        <w:t>Retain the practice description, duration, authorisation/plan check, clinical review, notifications and reduction actions. Review therapeutic devices and prescribed medication by purpose and context rather than assuming all use is restraint.</w:t>
      </w:r>
    </w:p>
    <w:p>
      <w:r>
        <w:t>Basis: S2 S4 and S7. Operational steps are proposed provider controls unless identified as statutory requirements.</w:t>
      </w:r>
    </w:p>
    <w:p>
      <w:r>
        <w:br w:type="page"/>
      </w:r>
    </w:p>
    <w:p>
      <w:pPr>
        <w:pStyle w:val="Heading1"/>
      </w:pPr>
      <w:r>
        <w:t>IM07 Medication and clinical incident response</w:t>
      </w:r>
    </w:p>
    <w:p>
      <w:r>
        <w:t>Owner: Clinical lead   |   Applies to: employees, contractors, students and volunteers</w:t>
      </w:r>
    </w:p>
    <w:p>
      <w:pPr>
        <w:pStyle w:val="Heading2"/>
      </w:pPr>
      <w:r>
        <w:t>Policy</w:t>
      </w:r>
    </w:p>
    <w:p>
      <w:r>
        <w:t>Medication errors, deterioration, aspiration concerns, infection events and failures in health-related supports are escalated for prompt clinical advice. Staff act within their competence and the participant’s individual plan.</w:t>
      </w:r>
    </w:p>
    <w:p>
      <w:pPr>
        <w:pStyle w:val="Heading2"/>
      </w:pPr>
      <w:r>
        <w:t>Procedure</w:t>
      </w:r>
    </w:p>
    <w:p>
      <w:pPr>
        <w:ind w:left="259" w:hanging="259"/>
      </w:pPr>
      <w:r>
        <w:t>1. Call 000 for an emergency or serious deterioration. Otherwise obtain prompt advice from the authorised clinician, pharmacist or appropriate clinical service.</w:t>
      </w:r>
    </w:p>
    <w:p>
      <w:pPr>
        <w:ind w:left="259" w:hanging="259"/>
      </w:pPr>
      <w:r>
        <w:t>2. For a medication error identify the person, medication, dose, route, scheduled and actual times, and observed condition. Retain packaging and administration records.</w:t>
      </w:r>
    </w:p>
    <w:p>
      <w:pPr>
        <w:ind w:left="259" w:hanging="259"/>
      </w:pPr>
      <w:r>
        <w:t>3. Do not independently give a replacement or double dose, alter a prescription or conceal an omission. Follow documented clinical advice and record who gave it and when.</w:t>
      </w:r>
    </w:p>
    <w:p>
      <w:pPr>
        <w:ind w:left="259" w:hanging="259"/>
      </w:pPr>
      <w:r>
        <w:t>4. Escalate to the Incident Manager and assess whether serious injury, abuse, neglect or another reportable category is involved. An error without harm is still an internal incident but is not automatically reportable.</w:t>
      </w:r>
    </w:p>
    <w:p>
      <w:pPr>
        <w:ind w:left="259" w:hanging="259"/>
      </w:pPr>
      <w:r>
        <w:t>5. Arrange monitoring and handover as directed by the treating clinician. Inform the participant accessibly and check consent/authority for other disclosures.</w:t>
      </w:r>
    </w:p>
    <w:p>
      <w:pPr>
        <w:ind w:left="259" w:hanging="259"/>
      </w:pPr>
      <w:r>
        <w:t>6. Review administration processes, delegation, storage, staffing and care-plan availability. Refer high-intensity support failures to the relevant clinical lead before resuming unsafe tasks.</w:t>
      </w:r>
    </w:p>
    <w:p>
      <w:pPr>
        <w:pStyle w:val="Heading2"/>
      </w:pPr>
      <w:r>
        <w:t>Records and oversight</w:t>
      </w:r>
    </w:p>
    <w:p>
      <w:r>
        <w:t>Keep the incident record, clinical instructions, medication record, observations, participant communication and follow-up. This procedure supplements the medication and relevant high-intensity support policies; it is not a clinical treatment protocol.</w:t>
      </w:r>
    </w:p>
    <w:p>
      <w:r>
        <w:t>Basis: S1 and S2. Operational steps are proposed provider controls unless identified as statutory requirements.</w:t>
      </w:r>
    </w:p>
    <w:p>
      <w:r>
        <w:br w:type="page"/>
      </w:r>
    </w:p>
    <w:p>
      <w:pPr>
        <w:pStyle w:val="Heading1"/>
      </w:pPr>
      <w:r>
        <w:t>IM08 Falls injury and equipment incident response</w:t>
      </w:r>
    </w:p>
    <w:p>
      <w:r>
        <w:t>Owner: Clinical lead and service manager   |   Applies to: employees, contractors, students and volunteers</w:t>
      </w:r>
    </w:p>
    <w:p>
      <w:pPr>
        <w:pStyle w:val="Heading2"/>
      </w:pPr>
      <w:r>
        <w:t>Policy</w:t>
      </w:r>
    </w:p>
    <w:p>
      <w:r>
        <w:t>We respond to falls, manual handling injuries, burns, wounds and equipment failures promptly, and remove unsafe equipment from use. We respect the participant’s choices while reviewing preventable risks.</w:t>
      </w:r>
    </w:p>
    <w:p>
      <w:pPr>
        <w:pStyle w:val="Heading2"/>
      </w:pPr>
      <w:r>
        <w:t>Procedure</w:t>
      </w:r>
    </w:p>
    <w:p>
      <w:pPr>
        <w:ind w:left="259" w:hanging="259"/>
      </w:pPr>
      <w:r>
        <w:t>1. Assess immediate danger and obtain emergency or clinical assistance. Follow trained first-aid and individual care-plan instructions; do not move an injured person except where required for immediate safety or on appropriate advice.</w:t>
      </w:r>
    </w:p>
    <w:p>
      <w:pPr>
        <w:ind w:left="259" w:hanging="259"/>
      </w:pPr>
      <w:r>
        <w:t>2. Check for other people at risk. Isolate faulty equipment and label it out of service. Arrange a safe alternative rather than an improvised repair.</w:t>
      </w:r>
    </w:p>
    <w:p>
      <w:pPr>
        <w:ind w:left="259" w:hanging="259"/>
      </w:pPr>
      <w:r>
        <w:t>3. Record the environment, activity, assistance provided, equipment identification, observed injury and witness details. Preserve relevant records and obtain images only with a lawful basis.</w:t>
      </w:r>
    </w:p>
    <w:p>
      <w:pPr>
        <w:ind w:left="259" w:hanging="259"/>
      </w:pPr>
      <w:r>
        <w:t>4. Escalate and assess Commission reportability and WHS notification separately. Minor falls and equipment near misses still require internal assessment.</w:t>
      </w:r>
    </w:p>
    <w:p>
      <w:pPr>
        <w:ind w:left="259" w:hanging="259"/>
      </w:pPr>
      <w:r>
        <w:t>5. Arrange competent equipment inspection or clinical review before return to use. Review manual handling plans and staff training.</w:t>
      </w:r>
    </w:p>
    <w:p>
      <w:pPr>
        <w:ind w:left="259" w:hanging="259"/>
      </w:pPr>
      <w:r>
        <w:t>6. Consult the participant about risk controls and independence. Where restrictions are proposed, obtain appropriate clinical and restrictive practice advice.</w:t>
      </w:r>
    </w:p>
    <w:p>
      <w:pPr>
        <w:pStyle w:val="Heading2"/>
      </w:pPr>
      <w:r>
        <w:t>Records and oversight</w:t>
      </w:r>
    </w:p>
    <w:p>
      <w:r>
        <w:t>Keep equipment service records, quarantine decisions, clinical review, participant involvement and the authorisation to return equipment to use. Monitor repeat falls and failures.</w:t>
      </w:r>
    </w:p>
    <w:p>
      <w:r>
        <w:t>Basis: S1 S2 and S8. Operational steps are proposed provider controls unless identified as statutory requirements.</w:t>
      </w:r>
    </w:p>
    <w:p>
      <w:r>
        <w:br w:type="page"/>
      </w:r>
    </w:p>
    <w:p>
      <w:pPr>
        <w:pStyle w:val="Heading1"/>
      </w:pPr>
      <w:r>
        <w:t>IM09 Missing participant and transport incident response</w:t>
      </w:r>
    </w:p>
    <w:p>
      <w:r>
        <w:t>Owner: On-call service manager   |   Applies to: employees, contractors, students and volunteers</w:t>
      </w:r>
    </w:p>
    <w:p>
      <w:pPr>
        <w:pStyle w:val="Heading2"/>
      </w:pPr>
      <w:r>
        <w:t>Policy</w:t>
      </w:r>
    </w:p>
    <w:p>
      <w:r>
        <w:t>An unexpected absence or transport incident is assessed against individual vulnerability, immediate risks and the person’s right to freedom of movement. A participant choosing to go out is not automatically a missing-person event.</w:t>
      </w:r>
    </w:p>
    <w:p>
      <w:pPr>
        <w:pStyle w:val="Heading2"/>
      </w:pPr>
      <w:r>
        <w:t>Procedure</w:t>
      </w:r>
    </w:p>
    <w:p>
      <w:pPr>
        <w:ind w:left="259" w:hanging="259"/>
      </w:pPr>
      <w:r>
        <w:t>1. Check the individual support plan, usual arrangements, agreed destination and last known location. Attempt safe contact without leaving other participants unsupported.</w:t>
      </w:r>
    </w:p>
    <w:p>
      <w:pPr>
        <w:ind w:left="259" w:hanging="259"/>
      </w:pPr>
      <w:r>
        <w:t>2. Call 000 where there is immediate danger, serious injury or an urgent safety concern. Seek police assistance promptly for a genuinely missing vulnerable person; do not impose a fixed waiting period.</w:t>
      </w:r>
    </w:p>
    <w:p>
      <w:pPr>
        <w:ind w:left="259" w:hanging="259"/>
      </w:pPr>
      <w:r>
        <w:t>3. Notify the on-call manager. Coordinate a proportionate search or transport response with emergency services and maintain safe staffing.</w:t>
      </w:r>
    </w:p>
    <w:p>
      <w:pPr>
        <w:ind w:left="259" w:hanging="259"/>
      </w:pPr>
      <w:r>
        <w:t>4. For a vehicle incident attend to injuries, follow police directions and record location, passengers, driver, vehicle and relevant witnesses. Do not transport an injured participant contrary to clinical advice.</w:t>
      </w:r>
    </w:p>
    <w:p>
      <w:pPr>
        <w:ind w:left="259" w:hanging="259"/>
      </w:pPr>
      <w:r>
        <w:t>5. Preserve phone, scheduling and transport records. Assess whether the event involves serious injury, neglect or another reportable category.</w:t>
      </w:r>
    </w:p>
    <w:p>
      <w:pPr>
        <w:ind w:left="259" w:hanging="259"/>
      </w:pPr>
      <w:r>
        <w:t>6. When the person returns, arrange a wellbeing review, listen to their account and review the plan. Do not introduce locked exits or other restrictive controls without the required assessment and lawful arrangements.</w:t>
      </w:r>
    </w:p>
    <w:p>
      <w:pPr>
        <w:pStyle w:val="Heading2"/>
      </w:pPr>
      <w:r>
        <w:t>Records and oversight</w:t>
      </w:r>
    </w:p>
    <w:p>
      <w:r>
        <w:t>Record the search/contact timeline, risk assessment, police reference, return/wellbeing review and participant preferences. Review transport competence, supervision and handover.</w:t>
      </w:r>
    </w:p>
    <w:p>
      <w:r>
        <w:t>Basis: S1 and S2. Operational steps are proposed provider controls unless identified as statutory requirements.</w:t>
      </w:r>
    </w:p>
    <w:p>
      <w:r>
        <w:br w:type="page"/>
      </w:r>
    </w:p>
    <w:p>
      <w:pPr>
        <w:pStyle w:val="Heading1"/>
      </w:pPr>
      <w:r>
        <w:t>IM10 Emergency response and service continuity</w:t>
      </w:r>
    </w:p>
    <w:p>
      <w:r>
        <w:t>Owner: Emergency coordinator   |   Applies to: employees, contractors, students and volunteers</w:t>
      </w:r>
    </w:p>
    <w:p>
      <w:pPr>
        <w:pStyle w:val="Heading2"/>
      </w:pPr>
      <w:r>
        <w:t>Policy</w:t>
      </w:r>
    </w:p>
    <w:p>
      <w:r>
        <w:t>We maintain essential supports during emergencies and service disruption, with individual plans for evacuation, communication, medicines, equipment and replacement staff.</w:t>
      </w:r>
    </w:p>
    <w:p>
      <w:pPr>
        <w:pStyle w:val="Heading2"/>
      </w:pPr>
      <w:r>
        <w:t>Procedure</w:t>
      </w:r>
    </w:p>
    <w:p>
      <w:pPr>
        <w:ind w:left="259" w:hanging="259"/>
      </w:pPr>
      <w:r>
        <w:t>1. Activate emergency services and the local emergency plan. Use staff trained for the task and account for participants, workers and visitors.</w:t>
      </w:r>
    </w:p>
    <w:p>
      <w:pPr>
        <w:ind w:left="259" w:hanging="259"/>
      </w:pPr>
      <w:r>
        <w:t>2. Follow emergency directions and individual evacuation arrangements. Provide accessible communication and support mobility, sensory and cognitive needs.</w:t>
      </w:r>
    </w:p>
    <w:p>
      <w:pPr>
        <w:ind w:left="259" w:hanging="259"/>
      </w:pPr>
      <w:r>
        <w:t>3. The on-call manager arranges alternative staffing, premises, transport or supplies. Identify participants who cannot safely wait for routine service restoration.</w:t>
      </w:r>
    </w:p>
    <w:p>
      <w:pPr>
        <w:ind w:left="259" w:hanging="259"/>
      </w:pPr>
      <w:r>
        <w:t>4. Keep a current status list with location, care needs and responsible worker. Share only the information required for safe coordination.</w:t>
      </w:r>
    </w:p>
    <w:p>
      <w:pPr>
        <w:ind w:left="259" w:hanging="259"/>
      </w:pPr>
      <w:r>
        <w:t>5. Create incident records for harm, near misses and failures of essential supports. Assess reporting categories separately; an emergency does not remove notification responsibilities.</w:t>
      </w:r>
    </w:p>
    <w:p>
      <w:pPr>
        <w:ind w:left="259" w:hanging="259"/>
      </w:pPr>
      <w:r>
        <w:t>6. After stabilisation, restore services safely, check participant wellbeing and review what worked. Update continuity arrangements and test any changed procedures.</w:t>
      </w:r>
    </w:p>
    <w:p>
      <w:pPr>
        <w:pStyle w:val="Heading2"/>
      </w:pPr>
      <w:r>
        <w:t>Records and oversight</w:t>
      </w:r>
    </w:p>
    <w:p>
      <w:r>
        <w:t>Retain emergency activation records, participant accounting, continuity decisions, incident references and exercise outcomes. This procedure must be used with site-specific and individual emergency plans.</w:t>
      </w:r>
    </w:p>
    <w:p>
      <w:r>
        <w:t>Basis: S1 and S3. Operational steps are proposed provider controls unless identified as statutory requirements.</w:t>
      </w:r>
    </w:p>
    <w:p>
      <w:r>
        <w:br w:type="page"/>
      </w:r>
    </w:p>
    <w:p>
      <w:pPr>
        <w:pStyle w:val="Heading1"/>
      </w:pPr>
      <w:r>
        <w:t>IM11 Privacy evidence and records</w:t>
      </w:r>
    </w:p>
    <w:p>
      <w:r>
        <w:t>Owner: Privacy officer and records custodian   |   Applies to: employees, contractors, students and volunteers</w:t>
      </w:r>
    </w:p>
    <w:p>
      <w:pPr>
        <w:pStyle w:val="Heading2"/>
      </w:pPr>
      <w:r>
        <w:t>Policy</w:t>
      </w:r>
    </w:p>
    <w:p>
      <w:r>
        <w:t>Incident records are confidential and accessed only for authorised care, investigation, safeguarding and reporting. Evidence is preserved and disclosures are recorded.</w:t>
      </w:r>
    </w:p>
    <w:p>
      <w:pPr>
        <w:pStyle w:val="Heading2"/>
      </w:pPr>
      <w:r>
        <w:t>Procedure</w:t>
      </w:r>
    </w:p>
    <w:p>
      <w:pPr>
        <w:ind w:left="259" w:hanging="259"/>
      </w:pPr>
      <w:r>
        <w:t>1. Use the approved secure system. Restrict access by role and protect devices, backups and paper records. Do not use personal messaging accounts or unmanaged storage.</w:t>
      </w:r>
    </w:p>
    <w:p>
      <w:pPr>
        <w:ind w:left="259" w:hanging="259"/>
      </w:pPr>
      <w:r>
        <w:t>2. Keep original notes, forms, relevant communications and equipment records. Record the source, date collected, custodian and access or transfer of evidence.</w:t>
      </w:r>
    </w:p>
    <w:p>
      <w:pPr>
        <w:ind w:left="259" w:hanging="259"/>
      </w:pPr>
      <w:r>
        <w:t>3. Collect photographs or recordings only where necessary and lawfully permitted. Respect dignity and consent; follow police or clinical directions for sensitive evidence.</w:t>
      </w:r>
    </w:p>
    <w:p>
      <w:pPr>
        <w:ind w:left="259" w:hanging="259"/>
      </w:pPr>
      <w:r>
        <w:t>4. Apply the longest relevant retention period. Incident records have a 7-year minimum from creation; reportable incident records also have a 7-year minimum from the relevant notification. Use a schedule that satisfies both, longer applicable laws and legal holds. [S4 S5]</w:t>
      </w:r>
    </w:p>
    <w:p>
      <w:pPr>
        <w:ind w:left="259" w:hanging="259"/>
      </w:pPr>
      <w:r>
        <w:t>5. If information is lost or disclosed incorrectly, contain the breach and notify the privacy officer immediately. Assess serious harm and notification under the OAIC scheme where the Privacy Act applies. Do not assume all breaches require OAIC reporting. [S10]</w:t>
      </w:r>
    </w:p>
    <w:p>
      <w:pPr>
        <w:ind w:left="259" w:hanging="259"/>
      </w:pPr>
      <w:r>
        <w:t>6. Provide lawful access and disclosure through the records custodian. Maintain a release log and preserve the original record when correcting errors.</w:t>
      </w:r>
    </w:p>
    <w:p>
      <w:pPr>
        <w:pStyle w:val="Heading2"/>
      </w:pPr>
      <w:r>
        <w:t>Records and oversight</w:t>
      </w:r>
    </w:p>
    <w:p>
      <w:r>
        <w:t>Use restricted incident files, an evidence register, access log, retention schedule and legal-hold register. Do not upload identifiable incident information to an unapproved AI tool.</w:t>
      </w:r>
    </w:p>
    <w:p>
      <w:r>
        <w:t>Basis: S4 S5 and S10. Operational steps are proposed provider controls unless identified as statutory requirements.</w:t>
      </w:r>
    </w:p>
    <w:p>
      <w:r>
        <w:br w:type="page"/>
      </w:r>
    </w:p>
    <w:p>
      <w:pPr>
        <w:pStyle w:val="Heading1"/>
      </w:pPr>
      <w:r>
        <w:t>IM12 Complaints and protected reporting</w:t>
      </w:r>
    </w:p>
    <w:p>
      <w:r>
        <w:t>Owner: Complaints manager   |   Applies to: employees, contractors, students and volunteers</w:t>
      </w:r>
    </w:p>
    <w:p>
      <w:pPr>
        <w:pStyle w:val="Heading2"/>
      </w:pPr>
      <w:r>
        <w:t>Policy</w:t>
      </w:r>
    </w:p>
    <w:p>
      <w:r>
        <w:t>People can raise concerns without adverse consequences. Complaints indicating harm are assessed as incidents as well as complaints. We protect participants and people who report in good faith from retaliation.</w:t>
      </w:r>
    </w:p>
    <w:p>
      <w:pPr>
        <w:pStyle w:val="Heading2"/>
      </w:pPr>
      <w:r>
        <w:t>Procedure</w:t>
      </w:r>
    </w:p>
    <w:p>
      <w:pPr>
        <w:ind w:left="259" w:hanging="259"/>
      </w:pPr>
      <w:r>
        <w:t>1. Accept concerns in person, by phone, in writing or through a support person. Offer accessible communication and help to describe the concern.</w:t>
      </w:r>
    </w:p>
    <w:p>
      <w:pPr>
        <w:ind w:left="259" w:hanging="259"/>
      </w:pPr>
      <w:r>
        <w:t>2. Check immediate safety before the routine complaints process. Open an incident file where the information indicates harm, potential harm or a reportable allegation.</w:t>
      </w:r>
    </w:p>
    <w:p>
      <w:pPr>
        <w:ind w:left="259" w:hanging="259"/>
      </w:pPr>
      <w:r>
        <w:t>3. Provide a contact person, acknowledgement and an agreed update schedule. Link the complaint and incident IDs while restricting sensitive access.</w:t>
      </w:r>
    </w:p>
    <w:p>
      <w:pPr>
        <w:ind w:left="259" w:hanging="259"/>
      </w:pPr>
      <w:r>
        <w:t>4. Where management is implicated, allocate an independent reviewer. Tell the person how to approach the NDIS Commission, police or other relevant authority directly.</w:t>
      </w:r>
    </w:p>
    <w:p>
      <w:pPr>
        <w:ind w:left="259" w:hanging="259"/>
      </w:pPr>
      <w:r>
        <w:t>5. Monitor for threats, loss of shifts, service withdrawal, intimidation or pressure to retract. Escalate suspected retaliation immediately.</w:t>
      </w:r>
    </w:p>
    <w:p>
      <w:pPr>
        <w:ind w:left="259" w:hanging="259"/>
      </w:pPr>
      <w:r>
        <w:t>6. Explain outcomes accessibly and offer review or external escalation. Do not require a participant to withdraw a complaint or waive rights to continue receiving supports.</w:t>
      </w:r>
    </w:p>
    <w:p>
      <w:pPr>
        <w:pStyle w:val="Heading2"/>
      </w:pPr>
      <w:r>
        <w:t>Records and oversight</w:t>
      </w:r>
    </w:p>
    <w:p>
      <w:r>
        <w:t>Maintain linked registers, communication records, independent review decisions and actions addressing retaliation. Do not promise absolute anonymity or legal whistleblower protection that may not apply.</w:t>
      </w:r>
    </w:p>
    <w:p>
      <w:r>
        <w:t>Basis: S1 and S3. Operational steps are proposed provider controls unless identified as statutory requirements.</w:t>
      </w:r>
    </w:p>
    <w:p>
      <w:r>
        <w:br w:type="page"/>
      </w:r>
    </w:p>
    <w:p>
      <w:pPr>
        <w:pStyle w:val="Heading1"/>
      </w:pPr>
      <w:r>
        <w:t>IM13 Workforce conduct and post incident support</w:t>
      </w:r>
    </w:p>
    <w:p>
      <w:r>
        <w:t>Owner: HR lead and service manager   |   Applies to: employees, contractors, students and volunteers</w:t>
      </w:r>
    </w:p>
    <w:p>
      <w:pPr>
        <w:pStyle w:val="Heading2"/>
      </w:pPr>
      <w:r>
        <w:t>Policy</w:t>
      </w:r>
    </w:p>
    <w:p>
      <w:r>
        <w:t>We protect participants while treating workers fairly. Interim workforce controls are based on current risk and do not predetermine an investigation outcome.</w:t>
      </w:r>
    </w:p>
    <w:p>
      <w:pPr>
        <w:pStyle w:val="Heading2"/>
      </w:pPr>
      <w:r>
        <w:t>Procedure</w:t>
      </w:r>
    </w:p>
    <w:p>
      <w:pPr>
        <w:ind w:left="259" w:hanging="259"/>
      </w:pPr>
      <w:r>
        <w:t>1. Arrange safe coverage and assess whether a worker should be temporarily reassigned, supervised or removed from participant contact. Follow applicable employment and contract requirements.</w:t>
      </w:r>
    </w:p>
    <w:p>
      <w:pPr>
        <w:ind w:left="259" w:hanging="259"/>
      </w:pPr>
      <w:r>
        <w:t>2. Preserve relevant access logs, rosters and records before changing access. Limit access where needed to protect people and evidence.</w:t>
      </w:r>
    </w:p>
    <w:p>
      <w:pPr>
        <w:ind w:left="259" w:hanging="259"/>
      </w:pPr>
      <w:r>
        <w:t>3. Explain the process and confidentiality expectations to the worker. Offer a support person and a fair opportunity to respond when consistent with safety and police directions.</w:t>
      </w:r>
    </w:p>
    <w:p>
      <w:pPr>
        <w:ind w:left="259" w:hanging="259"/>
      </w:pPr>
      <w:r>
        <w:t>4. Provide practical support, medical care if needed, supervision and an employee assistance referral. Offer a factual operational debrief without compelling staff to recount trauma.</w:t>
      </w:r>
    </w:p>
    <w:p>
      <w:pPr>
        <w:ind w:left="259" w:hanging="259"/>
      </w:pPr>
      <w:r>
        <w:t>5. Consider worker screening and professional regulator obligations separately; obtain appropriate advice rather than assuming every incident requires the same referral.</w:t>
      </w:r>
    </w:p>
    <w:p>
      <w:pPr>
        <w:ind w:left="259" w:hanging="259"/>
      </w:pPr>
      <w:r>
        <w:t>6. Before return to duties, assess competence, remaining risks and any required supervision. Record training or practice restrictions and review dates.</w:t>
      </w:r>
    </w:p>
    <w:p>
      <w:pPr>
        <w:pStyle w:val="Heading2"/>
      </w:pPr>
      <w:r>
        <w:t>Records and oversight</w:t>
      </w:r>
    </w:p>
    <w:p>
      <w:r>
        <w:t>Keep employment and investigation records appropriately separated and cross-referenced. Record interim measures, their risk basis and reviews. Make no finding of misconduct solely because a report was made.</w:t>
      </w:r>
    </w:p>
    <w:p>
      <w:r>
        <w:t>Basis: S3 S5 and S8. Operational steps are proposed provider controls unless identified as statutory requirements.</w:t>
      </w:r>
    </w:p>
    <w:p>
      <w:r>
        <w:br w:type="page"/>
      </w:r>
    </w:p>
    <w:p>
      <w:pPr>
        <w:pStyle w:val="Heading1"/>
      </w:pPr>
      <w:r>
        <w:t>IM14 Corrective action and continuous improvement</w:t>
      </w:r>
    </w:p>
    <w:p>
      <w:r>
        <w:t>Owner: Quality manager   |   Applies to: employees, contractors, students and volunteers</w:t>
      </w:r>
    </w:p>
    <w:p>
      <w:pPr>
        <w:pStyle w:val="Heading2"/>
      </w:pPr>
      <w:r>
        <w:t>Policy</w:t>
      </w:r>
    </w:p>
    <w:p>
      <w:r>
        <w:t>We address the causes of incidents and test whether changes make supports safer. Actions are proportionate to the risk and informed by participant experience.</w:t>
      </w:r>
    </w:p>
    <w:p>
      <w:pPr>
        <w:pStyle w:val="Heading2"/>
      </w:pPr>
      <w:r>
        <w:t>Procedure</w:t>
      </w:r>
    </w:p>
    <w:p>
      <w:pPr>
        <w:ind w:left="259" w:hanging="259"/>
      </w:pPr>
      <w:r>
        <w:t>1. Identify immediate causes and contributing conditions such as unclear plans, fatigue, equipment, staffing or communication. Avoid concluding “staff error” without examining the system.</w:t>
      </w:r>
    </w:p>
    <w:p>
      <w:pPr>
        <w:ind w:left="259" w:hanging="259"/>
      </w:pPr>
      <w:r>
        <w:t>2. Agree actions with named owners, due dates and evidence of completion. Prioritise risks with serious consequences or repeated occurrence.</w:t>
      </w:r>
    </w:p>
    <w:p>
      <w:pPr>
        <w:ind w:left="259" w:hanging="259"/>
      </w:pPr>
      <w:r>
        <w:t>3. Choose controls that directly address the risk, such as safer equipment, reliable cover arrangements or a clearer medication workflow. Use training where a skills gap is demonstrated.</w:t>
      </w:r>
    </w:p>
    <w:p>
      <w:pPr>
        <w:ind w:left="259" w:hanging="259"/>
      </w:pPr>
      <w:r>
        <w:t>4. Consult participants about proposed changes and possible effects on independence, privacy and access to supports.</w:t>
      </w:r>
    </w:p>
    <w:p>
      <w:pPr>
        <w:ind w:left="259" w:hanging="259"/>
      </w:pPr>
      <w:r>
        <w:t>5. The quality manager checks implementation and tests effectiveness through observation, record review or participant feedback. Merely sending a memo does not demonstrate safer practice.</w:t>
      </w:r>
    </w:p>
    <w:p>
      <w:pPr>
        <w:ind w:left="259" w:hanging="259"/>
      </w:pPr>
      <w:r>
        <w:t>6. Reopen actions if the control fails or the incident recurs. Share de-identified learning with relevant teams and escalate unresolved high risks to governance.</w:t>
      </w:r>
    </w:p>
    <w:p>
      <w:pPr>
        <w:pStyle w:val="Heading2"/>
      </w:pPr>
      <w:r>
        <w:t>Records and oversight</w:t>
      </w:r>
    </w:p>
    <w:p>
      <w:r>
        <w:t>Use Form F4. Review overdue high-risk actions weekly and incident trends monthly as proposed internal controls. Record effectiveness evidence before closing an action.</w:t>
      </w:r>
    </w:p>
    <w:p>
      <w:r>
        <w:t>Basis: S1 and S3. Operational steps are proposed provider controls unless identified as statutory requirements.</w:t>
      </w:r>
    </w:p>
    <w:p>
      <w:r>
        <w:br w:type="page"/>
      </w:r>
    </w:p>
    <w:p>
      <w:pPr>
        <w:pStyle w:val="Heading1"/>
      </w:pPr>
      <w:r>
        <w:t>IM15 Governance assurance and incident review</w:t>
      </w:r>
    </w:p>
    <w:p>
      <w:r>
        <w:t>Owner: Chief executive or governing body   |   Applies to: employees, contractors, students and volunteers</w:t>
      </w:r>
    </w:p>
    <w:p>
      <w:pPr>
        <w:pStyle w:val="Heading2"/>
      </w:pPr>
      <w:r>
        <w:t>Policy</w:t>
      </w:r>
    </w:p>
    <w:p>
      <w:r>
        <w:t>Governance oversees the incident system, notification performance and unresolved safety risks. Delegating case work does not remove leadership accountability.</w:t>
      </w:r>
    </w:p>
    <w:p>
      <w:pPr>
        <w:pStyle w:val="Heading2"/>
      </w:pPr>
      <w:r>
        <w:t>Procedure</w:t>
      </w:r>
    </w:p>
    <w:p>
      <w:pPr>
        <w:ind w:left="259" w:hanging="259"/>
      </w:pPr>
      <w:r>
        <w:t>1. Appoint an Incident Manager, notifier and backups. Verify after-hours coverage and independent escalation for conflicts.</w:t>
      </w:r>
    </w:p>
    <w:p>
      <w:pPr>
        <w:ind w:left="259" w:hanging="259"/>
      </w:pPr>
      <w:r>
        <w:t>2. Approve accessible procedures, staff training and secure reporting resources. Give participants information about how to report and obtain support.</w:t>
      </w:r>
    </w:p>
    <w:p>
      <w:pPr>
        <w:ind w:left="259" w:hanging="259"/>
      </w:pPr>
      <w:r>
        <w:t>3. Review serious incidents promptly. Examine notification timeliness, repeat events, participant feedback and overdue corrective actions.</w:t>
      </w:r>
    </w:p>
    <w:p>
      <w:pPr>
        <w:ind w:left="259" w:hanging="259"/>
      </w:pPr>
      <w:r>
        <w:t>4. Receive a de-identified monthly dashboard showing incident type, severity, service, recurring causes and action status. Escalate patterns affecting multiple participants.</w:t>
      </w:r>
    </w:p>
    <w:p>
      <w:pPr>
        <w:ind w:left="259" w:hanging="259"/>
      </w:pPr>
      <w:r>
        <w:t>5. Periodically sample records and test whether workers know the process. Review the system at least annually as an adopted internal standard and after material changes.</w:t>
      </w:r>
    </w:p>
    <w:p>
      <w:pPr>
        <w:ind w:left="259" w:hanging="259"/>
      </w:pPr>
      <w:r>
        <w:t>6. Close an incident only after required reporting, support arrangements, findings and action tracking are documented. Keep longer-term actions on the improvement register and verify their completion.</w:t>
      </w:r>
    </w:p>
    <w:p>
      <w:pPr>
        <w:pStyle w:val="Heading2"/>
      </w:pPr>
      <w:r>
        <w:t>Records and oversight</w:t>
      </w:r>
    </w:p>
    <w:p>
      <w:r>
        <w:t>Keep appointment records, training evidence, audit results, dashboard reviews, minutes and closure authorisations. Monitor the percentage reported on time, repeated incidents and completed effective actions.</w:t>
      </w:r>
    </w:p>
    <w:p>
      <w:r>
        <w:t>Basis: S1 and S3. Operational steps are proposed provider controls unless identified as statutory requirements.</w:t>
      </w:r>
    </w:p>
    <w:p>
      <w:r>
        <w:br w:type="page"/>
      </w:r>
    </w:p>
    <w:p>
      <w:pPr>
        <w:pStyle w:val="Heading1"/>
      </w:pPr>
      <w:r>
        <w:t>IM16 External reporting and interagency coordination</w:t>
      </w:r>
    </w:p>
    <w:p>
      <w:r>
        <w:t>Owner: Incident Manager   |   Applies to: employees, contractors, students and volunteers</w:t>
      </w:r>
    </w:p>
    <w:p>
      <w:pPr>
        <w:pStyle w:val="Heading2"/>
      </w:pPr>
      <w:r>
        <w:t>Policy</w:t>
      </w:r>
    </w:p>
    <w:p>
      <w:r>
        <w:t>We assess each applicable reporting duty independently and coordinate safely with external authorities. Reporting to one body does not automatically satisfy another duty.</w:t>
      </w:r>
    </w:p>
    <w:p>
      <w:pPr>
        <w:pStyle w:val="Heading2"/>
      </w:pPr>
      <w:r>
        <w:t>Procedure</w:t>
      </w:r>
    </w:p>
    <w:p>
      <w:pPr>
        <w:ind w:left="259" w:hanging="259"/>
      </w:pPr>
      <w:r>
        <w:t>1. Call 000 for urgent danger or medical emergencies. For non-emergency suspected crime, contact police through the appropriate channel and document advice.</w:t>
      </w:r>
    </w:p>
    <w:p>
      <w:pPr>
        <w:ind w:left="259" w:hanging="259"/>
      </w:pPr>
      <w:r>
        <w:t>2. For registered-provider reportable incidents, use IM02 and page 9. Each provider involved checks its own duties rather than assuming another provider has reported.</w:t>
      </w:r>
    </w:p>
    <w:p>
      <w:pPr>
        <w:ind w:left="259" w:hanging="259"/>
      </w:pPr>
      <w:r>
        <w:t>3. For a child or young person, assess local mandatory reporting and any reportable conduct scheme. Use the NSW supplement only where its jurisdiction and entity criteria apply.</w:t>
      </w:r>
    </w:p>
    <w:p>
      <w:pPr>
        <w:ind w:left="259" w:hanging="259"/>
      </w:pPr>
      <w:r>
        <w:t>4. Assess WHS notifiability, privacy breach notification and any professional or contractual reporting separately. Record why a threshold is or is not met.</w:t>
      </w:r>
    </w:p>
    <w:p>
      <w:pPr>
        <w:ind w:left="259" w:hanging="259"/>
      </w:pPr>
      <w:r>
        <w:t>5. Preserve a scene where required, while taking permitted steps to help an injured person and prevent further danger. Coordinate interviews and evidence access with police or other investigators.</w:t>
      </w:r>
    </w:p>
    <w:p>
      <w:pPr>
        <w:ind w:left="259" w:hanging="259"/>
      </w:pPr>
      <w:r>
        <w:t>6. Maintain an agency contact and direction log. Assign an owner to every requested report or action and monitor deadlines; verify closure separately for each reporting stream.</w:t>
      </w:r>
    </w:p>
    <w:p>
      <w:pPr>
        <w:pStyle w:val="Heading2"/>
      </w:pPr>
      <w:r>
        <w:t>Records and oversight</w:t>
      </w:r>
    </w:p>
    <w:p>
      <w:r>
        <w:t>Use Form F2 and the external reporting decision log. Disclose information lawfully and proportionately. Confirm additional state or territory requirements before delivering services outside NSW.</w:t>
      </w:r>
    </w:p>
    <w:p>
      <w:r>
        <w:t>Basis: S4 S8 S9 and S10. Operational steps are proposed provider controls unless identified as statutory requirements.</w:t>
      </w:r>
    </w:p>
    <w:p>
      <w:r>
        <w:br w:type="page"/>
      </w:r>
    </w:p>
    <w:p>
      <w:pPr>
        <w:pStyle w:val="Heading1"/>
      </w:pPr>
      <w:r>
        <w:t>F1 Initial incident report</w:t>
      </w:r>
    </w:p>
    <w:p>
      <w:r>
        <w:t>Complete when immediate safety needs are addressed. Use a secure continuation sheet if needed. Record facts, disclosures and uncertainty separately.</w:t>
      </w:r>
    </w:p>
    <w:p>
      <w:r>
        <w:rPr>
          <w:b/>
        </w:rPr>
        <w:t>Incident ID and reporter name role and contact</w:t>
      </w:r>
    </w:p>
    <w:p>
      <w:r>
        <w:t>________________________________________________________________________________</w:t>
      </w:r>
    </w:p>
    <w:p>
      <w:r>
        <w:rPr>
          <w:b/>
        </w:rPr>
        <w:t>Participant name and secure participant identifier</w:t>
      </w:r>
    </w:p>
    <w:p>
      <w:r>
        <w:t>________________________________________________________________________________</w:t>
      </w:r>
    </w:p>
    <w:p>
      <w:r>
        <w:rPr>
          <w:b/>
        </w:rPr>
        <w:t>Occurrence date time place or unknown</w:t>
      </w:r>
    </w:p>
    <w:p>
      <w:r>
        <w:t>________________________________________________________________________________</w:t>
      </w:r>
    </w:p>
    <w:p>
      <w:r>
        <w:rPr>
          <w:b/>
        </w:rPr>
        <w:t>Discovery date and time and how discovered</w:t>
      </w:r>
    </w:p>
    <w:p>
      <w:r>
        <w:t>________________________________________________________________________________</w:t>
      </w:r>
    </w:p>
    <w:p>
      <w:r>
        <w:rPr>
          <w:b/>
        </w:rPr>
        <w:t>Worker awareness time and manager notified name and time</w:t>
      </w:r>
    </w:p>
    <w:p>
      <w:r>
        <w:t>________________________________________________________________________________</w:t>
      </w:r>
    </w:p>
    <w:p>
      <w:r>
        <w:rPr>
          <w:b/>
        </w:rPr>
        <w:t>People involved and contact details including witnesses</w:t>
      </w:r>
    </w:p>
    <w:p>
      <w:r>
        <w:t>________________________________________________________________________________</w:t>
      </w:r>
    </w:p>
    <w:p>
      <w:pPr>
        <w:pStyle w:val="Heading2"/>
      </w:pPr>
      <w:r>
        <w:t>Factual description and participant words</w:t>
      </w:r>
    </w:p>
    <w:p>
      <w:r>
        <w:t>________________________________________________________________________________</w:t>
        <w:br/>
        <w:t>________________________________________________________________________________</w:t>
        <w:br/>
        <w:t>________________________________________________________________________________</w:t>
      </w:r>
    </w:p>
    <w:p>
      <w:r>
        <w:rPr>
          <w:b/>
        </w:rPr>
        <w:t>Injury impact and immediate safety risks</w:t>
      </w:r>
    </w:p>
    <w:p>
      <w:r>
        <w:t>________________________________________________________________________________</w:t>
      </w:r>
    </w:p>
    <w:p>
      <w:r>
        <w:rPr>
          <w:b/>
        </w:rPr>
        <w:t>Emergency clinical and other actions with times</w:t>
      </w:r>
    </w:p>
    <w:p>
      <w:r>
        <w:t>________________________________________________________________________________</w:t>
      </w:r>
    </w:p>
    <w:p>
      <w:r>
        <w:rPr>
          <w:b/>
        </w:rPr>
        <w:t>Participant support preferences and consent or authority</w:t>
      </w:r>
    </w:p>
    <w:p>
      <w:r>
        <w:t>________________________________________________________________________________</w:t>
      </w:r>
    </w:p>
    <w:p>
      <w:r>
        <w:rPr>
          <w:b/>
        </w:rPr>
        <w:t>Evidence preserved and secure location</w:t>
      </w:r>
    </w:p>
    <w:p>
      <w:r>
        <w:t>________________________________________________________________________________</w:t>
      </w:r>
    </w:p>
    <w:p>
      <w:r>
        <w:rPr>
          <w:b/>
        </w:rPr>
        <w:t>Handover to and time</w:t>
      </w:r>
    </w:p>
    <w:p>
      <w:r>
        <w:t>________________________________________________________________________________</w:t>
      </w:r>
    </w:p>
    <w:p>
      <w:r>
        <w:t>Reporter signature and date: ______________________________________________________</w:t>
      </w:r>
    </w:p>
    <w:p>
      <w:r>
        <w:br w:type="page"/>
      </w:r>
    </w:p>
    <w:p>
      <w:pPr>
        <w:pStyle w:val="Heading1"/>
      </w:pPr>
      <w:r>
        <w:t>F2 Triage and notification tracker</w:t>
      </w:r>
    </w:p>
    <w:p>
      <w:r>
        <w:rPr>
          <w:b/>
        </w:rPr>
        <w:t>Incident ID and case owner</w:t>
      </w:r>
    </w:p>
    <w:p>
      <w:r>
        <w:t>________________________________________________________________________________</w:t>
      </w:r>
    </w:p>
    <w:p>
      <w:r>
        <w:rPr>
          <w:b/>
        </w:rPr>
        <w:t>Risk rating and rationale</w:t>
      </w:r>
    </w:p>
    <w:p>
      <w:r>
        <w:t>________________________________________________________________________________</w:t>
      </w:r>
    </w:p>
    <w:p>
      <w:r>
        <w:rPr>
          <w:b/>
        </w:rPr>
        <w:t>Reportability decision category and reasons</w:t>
      </w:r>
    </w:p>
    <w:p>
      <w:r>
        <w:t>________________________________________________________________________________</w:t>
      </w:r>
    </w:p>
    <w:p>
      <w:r>
        <w:rPr>
          <w:b/>
        </w:rPr>
        <w:t>Provider awareness time and evidence for that time</w:t>
      </w:r>
    </w:p>
    <w:p>
      <w:r>
        <w:t>________________________________________________________________________________</w:t>
      </w:r>
    </w:p>
    <w:p>
      <w:r>
        <w:rPr>
          <w:b/>
        </w:rPr>
        <w:t>Immediate safeguards and support plan</w:t>
      </w:r>
    </w:p>
    <w:p>
      <w:r>
        <w:t>________________________________________________________________________________</w:t>
      </w:r>
    </w:p>
    <w:p>
      <w:r>
        <w:rPr>
          <w:b/>
        </w:rPr>
        <w:t>Participant consultation and requested outcomes</w:t>
      </w:r>
    </w:p>
    <w:p>
      <w:r>
        <w:t>________________________________________________________________________________</w:t>
      </w:r>
    </w:p>
    <w:tbl>
      <w:tblPr>
        <w:tblW w:type="auto" w:w="0"/>
        <w:tblLayout w:type="fixed"/>
        <w:tblLook w:firstColumn="1" w:firstRow="1" w:lastColumn="0" w:lastRow="0" w:noHBand="0" w:noVBand="1" w:val="04A0"/>
      </w:tblPr>
      <w:tblGrid>
        <w:gridCol w:w="4032"/>
        <w:gridCol w:w="2952"/>
        <w:gridCol w:w="2952"/>
      </w:tblGrid>
      <w:tr>
        <w:trPr>
          <w:cantSplit/>
          <w:tblHeader/>
        </w:trPr>
        <w:tc>
          <w:tcPr>
            <w:tcW w:type="dxa" w:w="4032"/>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Reporting stream</w:t>
            </w:r>
          </w:p>
        </w:tc>
        <w:tc>
          <w:tcPr>
            <w:tcW w:type="dxa" w:w="2952"/>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Due date and time</w:t>
            </w:r>
          </w:p>
        </w:tc>
        <w:tc>
          <w:tcPr>
            <w:tcW w:type="dxa" w:w="2952"/>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Submitted and reference</w:t>
            </w:r>
          </w:p>
        </w:tc>
      </w:tr>
      <w:tr>
        <w:trPr>
          <w:cantSplit/>
        </w:trPr>
        <w:tc>
          <w:tcPr>
            <w:tcW w:type="dxa" w:w="403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Commission immediate</w:t>
            </w:r>
          </w:p>
        </w:tc>
        <w:tc>
          <w:tcPr>
            <w:tcW w:type="dxa" w:w="295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________________</w:t>
            </w:r>
          </w:p>
        </w:tc>
        <w:tc>
          <w:tcPr>
            <w:tcW w:type="dxa" w:w="295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________________</w:t>
            </w:r>
          </w:p>
        </w:tc>
      </w:tr>
      <w:tr>
        <w:trPr>
          <w:cantSplit/>
        </w:trPr>
        <w:tc>
          <w:tcPr>
            <w:tcW w:type="dxa" w:w="403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Commission 5 Day Form</w:t>
            </w:r>
          </w:p>
        </w:tc>
        <w:tc>
          <w:tcPr>
            <w:tcW w:type="dxa" w:w="295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________________</w:t>
            </w:r>
          </w:p>
        </w:tc>
        <w:tc>
          <w:tcPr>
            <w:tcW w:type="dxa" w:w="295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________________</w:t>
            </w:r>
          </w:p>
        </w:tc>
      </w:tr>
      <w:tr>
        <w:trPr>
          <w:cantSplit/>
        </w:trPr>
        <w:tc>
          <w:tcPr>
            <w:tcW w:type="dxa" w:w="403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Significant update</w:t>
            </w:r>
          </w:p>
        </w:tc>
        <w:tc>
          <w:tcPr>
            <w:tcW w:type="dxa" w:w="295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________________</w:t>
            </w:r>
          </w:p>
        </w:tc>
        <w:tc>
          <w:tcPr>
            <w:tcW w:type="dxa" w:w="295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________________</w:t>
            </w:r>
          </w:p>
        </w:tc>
      </w:tr>
      <w:tr>
        <w:trPr>
          <w:cantSplit/>
        </w:trPr>
        <w:tc>
          <w:tcPr>
            <w:tcW w:type="dxa" w:w="403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Requested final report</w:t>
            </w:r>
          </w:p>
        </w:tc>
        <w:tc>
          <w:tcPr>
            <w:tcW w:type="dxa" w:w="295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________________</w:t>
            </w:r>
          </w:p>
        </w:tc>
        <w:tc>
          <w:tcPr>
            <w:tcW w:type="dxa" w:w="295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________________</w:t>
            </w:r>
          </w:p>
        </w:tc>
      </w:tr>
      <w:tr>
        <w:trPr>
          <w:cantSplit/>
        </w:trPr>
        <w:tc>
          <w:tcPr>
            <w:tcW w:type="dxa" w:w="403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Police or child protection</w:t>
            </w:r>
          </w:p>
        </w:tc>
        <w:tc>
          <w:tcPr>
            <w:tcW w:type="dxa" w:w="295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________________</w:t>
            </w:r>
          </w:p>
        </w:tc>
        <w:tc>
          <w:tcPr>
            <w:tcW w:type="dxa" w:w="295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________________</w:t>
            </w:r>
          </w:p>
        </w:tc>
      </w:tr>
      <w:tr>
        <w:trPr>
          <w:cantSplit/>
        </w:trPr>
        <w:tc>
          <w:tcPr>
            <w:tcW w:type="dxa" w:w="403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WHS privacy or other</w:t>
            </w:r>
          </w:p>
        </w:tc>
        <w:tc>
          <w:tcPr>
            <w:tcW w:type="dxa" w:w="295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________________</w:t>
            </w:r>
          </w:p>
        </w:tc>
        <w:tc>
          <w:tcPr>
            <w:tcW w:type="dxa" w:w="295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________________</w:t>
            </w:r>
          </w:p>
        </w:tc>
      </w:tr>
    </w:tbl>
    <w:p/>
    <w:p>
      <w:r>
        <w:rPr>
          <w:b/>
        </w:rPr>
        <w:t>Other agencies considered decision and reasons</w:t>
      </w:r>
    </w:p>
    <w:p>
      <w:r>
        <w:t>________________________________________________________________________________</w:t>
      </w:r>
    </w:p>
    <w:p>
      <w:r>
        <w:rPr>
          <w:b/>
        </w:rPr>
        <w:t>Commission directions and assigned owner</w:t>
      </w:r>
    </w:p>
    <w:p>
      <w:r>
        <w:t>________________________________________________________________________________</w:t>
      </w:r>
    </w:p>
    <w:p>
      <w:r>
        <w:rPr>
          <w:b/>
        </w:rPr>
        <w:t>Deadline checked by and date</w:t>
      </w:r>
    </w:p>
    <w:p>
      <w:r>
        <w:t>________________________________________________________________________________</w:t>
      </w:r>
    </w:p>
    <w:p>
      <w:r>
        <w:rPr>
          <w:b/>
        </w:rPr>
        <w:t>Late reporting or outage details and remedial steps</w:t>
      </w:r>
    </w:p>
    <w:p>
      <w:r>
        <w:t>________________________________________________________________________________</w:t>
      </w:r>
    </w:p>
    <w:p>
      <w:r>
        <w:t>Manager signature: __________________________  Date: __________________________</w:t>
      </w:r>
    </w:p>
    <w:p>
      <w:r>
        <w:br w:type="page"/>
      </w:r>
    </w:p>
    <w:p>
      <w:pPr>
        <w:pStyle w:val="Heading1"/>
      </w:pPr>
      <w:r>
        <w:t>F3 Investigation plan and findings</w:t>
      </w:r>
    </w:p>
    <w:p>
      <w:r>
        <w:rPr>
          <w:b/>
        </w:rPr>
        <w:t>Incident ID investigator and decision maker</w:t>
      </w:r>
    </w:p>
    <w:p>
      <w:r>
        <w:t>________________________________________________________________________________</w:t>
      </w:r>
    </w:p>
    <w:p>
      <w:r>
        <w:rPr>
          <w:b/>
        </w:rPr>
        <w:t>Conflict of interest check and independent arrangements</w:t>
      </w:r>
    </w:p>
    <w:p>
      <w:r>
        <w:t>________________________________________________________________________________</w:t>
      </w:r>
    </w:p>
    <w:p>
      <w:r>
        <w:rPr>
          <w:b/>
        </w:rPr>
        <w:t>Questions and scope of investigation</w:t>
      </w:r>
    </w:p>
    <w:p>
      <w:r>
        <w:t>________________________________________________________________________________</w:t>
      </w:r>
    </w:p>
    <w:p>
      <w:r>
        <w:rPr>
          <w:b/>
        </w:rPr>
        <w:t>Participant involvement and communication arrangements</w:t>
      </w:r>
    </w:p>
    <w:p>
      <w:r>
        <w:t>________________________________________________________________________________</w:t>
      </w:r>
    </w:p>
    <w:p>
      <w:r>
        <w:rPr>
          <w:b/>
        </w:rPr>
        <w:t>Police or regulator directions and interview limitations</w:t>
      </w:r>
    </w:p>
    <w:p>
      <w:r>
        <w:t>________________________________________________________________________________</w:t>
      </w:r>
    </w:p>
    <w:tbl>
      <w:tblPr>
        <w:tblW w:type="auto" w:w="0"/>
        <w:tblLayout w:type="fixed"/>
        <w:tblLook w:firstColumn="1" w:firstRow="1" w:lastColumn="0" w:lastRow="0" w:noHBand="0" w:noVBand="1" w:val="04A0"/>
      </w:tblPr>
      <w:tblGrid>
        <w:gridCol w:w="3312"/>
        <w:gridCol w:w="3312"/>
        <w:gridCol w:w="3312"/>
      </w:tblGrid>
      <w:tr>
        <w:trPr>
          <w:cantSplit/>
          <w:tblHeader/>
        </w:trPr>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Evidence item</w:t>
            </w:r>
          </w:p>
        </w:tc>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Source and date</w:t>
            </w:r>
          </w:p>
        </w:tc>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Custodian and location</w:t>
            </w:r>
          </w:p>
        </w:tc>
      </w:tr>
      <w:tr>
        <w:trPr>
          <w:cantSplit/>
        </w:trPr>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________________</w:t>
            </w:r>
          </w:p>
        </w:tc>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________________</w:t>
            </w:r>
          </w:p>
        </w:tc>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________________</w:t>
            </w:r>
          </w:p>
        </w:tc>
      </w:tr>
      <w:tr>
        <w:trPr>
          <w:cantSplit/>
        </w:trPr>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________________</w:t>
            </w:r>
          </w:p>
        </w:tc>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________________</w:t>
            </w:r>
          </w:p>
        </w:tc>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________________</w:t>
            </w:r>
          </w:p>
        </w:tc>
      </w:tr>
      <w:tr>
        <w:trPr>
          <w:cantSplit/>
        </w:trPr>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________________</w:t>
            </w:r>
          </w:p>
        </w:tc>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________________</w:t>
            </w:r>
          </w:p>
        </w:tc>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________________</w:t>
            </w:r>
          </w:p>
        </w:tc>
      </w:tr>
    </w:tbl>
    <w:p/>
    <w:p>
      <w:r>
        <w:rPr>
          <w:b/>
        </w:rPr>
        <w:t>Timeline and evidence summary</w:t>
      </w:r>
    </w:p>
    <w:p>
      <w:r>
        <w:t>________________________________________________________________________________</w:t>
      </w:r>
    </w:p>
    <w:p>
      <w:r>
        <w:rPr>
          <w:b/>
        </w:rPr>
        <w:t>Subject response and opportunity provided</w:t>
      </w:r>
    </w:p>
    <w:p>
      <w:r>
        <w:t>________________________________________________________________________________</w:t>
      </w:r>
    </w:p>
    <w:p>
      <w:r>
        <w:rPr>
          <w:b/>
        </w:rPr>
        <w:t>Findings with evidence and unresolved issues</w:t>
      </w:r>
    </w:p>
    <w:p>
      <w:r>
        <w:t>________________________________________________________________________________</w:t>
      </w:r>
    </w:p>
    <w:p>
      <w:r>
        <w:rPr>
          <w:b/>
        </w:rPr>
        <w:t>Contributing causes and preventability</w:t>
      </w:r>
    </w:p>
    <w:p>
      <w:r>
        <w:t>________________________________________________________________________________</w:t>
      </w:r>
    </w:p>
    <w:p>
      <w:r>
        <w:rPr>
          <w:b/>
        </w:rPr>
        <w:t>Assessment of response and resolution</w:t>
      </w:r>
    </w:p>
    <w:p>
      <w:r>
        <w:t>________________________________________________________________________________</w:t>
      </w:r>
    </w:p>
    <w:p>
      <w:r>
        <w:rPr>
          <w:b/>
        </w:rPr>
        <w:t>Recommended actions and participant feedback</w:t>
      </w:r>
    </w:p>
    <w:p>
      <w:r>
        <w:t>________________________________________________________________________________</w:t>
      </w:r>
    </w:p>
    <w:p>
      <w:r>
        <w:t>Investigator signature: __________________  Decision maker: __________________</w:t>
        <w:br/>
        <w:t>Date: __________________  Findings communicated on: __________________</w:t>
      </w:r>
    </w:p>
    <w:p>
      <w:r>
        <w:br w:type="page"/>
      </w:r>
    </w:p>
    <w:p>
      <w:pPr>
        <w:pStyle w:val="Heading1"/>
      </w:pPr>
      <w:r>
        <w:t>F4 Corrective action and closure record</w:t>
      </w:r>
    </w:p>
    <w:p>
      <w:r>
        <w:rPr>
          <w:b/>
        </w:rPr>
        <w:t>Incident ID and linked complaint ID</w:t>
      </w:r>
    </w:p>
    <w:p>
      <w:r>
        <w:t>________________________________________________________________________________</w:t>
      </w:r>
    </w:p>
    <w:p>
      <w:r>
        <w:rPr>
          <w:b/>
        </w:rPr>
        <w:t>Cause or risk requiring action</w:t>
      </w:r>
    </w:p>
    <w:p>
      <w:r>
        <w:t>________________________________________________________________________________</w:t>
      </w:r>
    </w:p>
    <w:p>
      <w:r>
        <w:rPr>
          <w:b/>
        </w:rPr>
        <w:t>Corrective action and expected safety result</w:t>
      </w:r>
    </w:p>
    <w:p>
      <w:r>
        <w:t>________________________________________________________________________________</w:t>
      </w:r>
    </w:p>
    <w:p>
      <w:r>
        <w:rPr>
          <w:b/>
        </w:rPr>
        <w:t>Owner and due date</w:t>
      </w:r>
    </w:p>
    <w:p>
      <w:r>
        <w:t>________________________________________________________________________________</w:t>
      </w:r>
    </w:p>
    <w:p>
      <w:r>
        <w:rPr>
          <w:b/>
        </w:rPr>
        <w:t>Evidence of implementation</w:t>
      </w:r>
    </w:p>
    <w:p>
      <w:r>
        <w:t>________________________________________________________________________________</w:t>
      </w:r>
    </w:p>
    <w:p>
      <w:r>
        <w:rPr>
          <w:b/>
        </w:rPr>
        <w:t>Effectiveness check method date and result</w:t>
      </w:r>
    </w:p>
    <w:p>
      <w:r>
        <w:t>________________________________________________________________________________</w:t>
      </w:r>
    </w:p>
    <w:p>
      <w:r>
        <w:rPr>
          <w:b/>
        </w:rPr>
        <w:t>Participant feedback and remaining concerns</w:t>
      </w:r>
    </w:p>
    <w:p>
      <w:r>
        <w:t>________________________________________________________________________________</w:t>
      </w:r>
    </w:p>
    <w:p>
      <w:pPr>
        <w:pStyle w:val="Heading2"/>
      </w:pPr>
      <w:r>
        <w:t>Closure checklist</w:t>
      </w:r>
    </w:p>
    <w:p>
      <w:pPr>
        <w:pStyle w:val="ListBullet"/>
      </w:pPr>
      <w:r>
        <w:t>Immediate and ongoing participant support documented.</w:t>
      </w:r>
    </w:p>
    <w:p>
      <w:pPr>
        <w:pStyle w:val="ListBullet"/>
      </w:pPr>
      <w:r>
        <w:t>Reportability and all external reporting decisions recorded.</w:t>
      </w:r>
    </w:p>
    <w:p>
      <w:pPr>
        <w:pStyle w:val="ListBullet"/>
      </w:pPr>
      <w:r>
        <w:t>Required notifications submitted and regulator directions addressed.</w:t>
      </w:r>
    </w:p>
    <w:p>
      <w:pPr>
        <w:pStyle w:val="ListBullet"/>
      </w:pPr>
      <w:r>
        <w:t>Investigation or assessment findings recorded and communicated appropriately.</w:t>
      </w:r>
    </w:p>
    <w:p>
      <w:pPr>
        <w:pStyle w:val="ListBullet"/>
      </w:pPr>
      <w:r>
        <w:t>Actions completed or transferred to an actively monitored improvement register.</w:t>
      </w:r>
    </w:p>
    <w:p>
      <w:pPr>
        <w:pStyle w:val="ListBullet"/>
      </w:pPr>
      <w:r>
        <w:t>Evidence preserved and retention requirements applied.</w:t>
      </w:r>
    </w:p>
    <w:p>
      <w:pPr>
        <w:pStyle w:val="ListBullet"/>
      </w:pPr>
      <w:r>
        <w:t>Participant informed of outcome and review options.</w:t>
      </w:r>
    </w:p>
    <w:p>
      <w:r>
        <w:rPr>
          <w:b/>
        </w:rPr>
        <w:t>Outstanding actions and register reference</w:t>
      </w:r>
    </w:p>
    <w:p>
      <w:r>
        <w:t>________________________________________________________________________________</w:t>
      </w:r>
    </w:p>
    <w:p>
      <w:r>
        <w:rPr>
          <w:b/>
        </w:rPr>
        <w:t>Closure decision and reasons</w:t>
      </w:r>
    </w:p>
    <w:p>
      <w:r>
        <w:t>________________________________________________________________________________</w:t>
      </w:r>
    </w:p>
    <w:p>
      <w:r>
        <w:rPr>
          <w:b/>
        </w:rPr>
        <w:t>Authorised manager and date</w:t>
      </w:r>
    </w:p>
    <w:p>
      <w:r>
        <w:t>________________________________________________________________________________</w:t>
      </w:r>
    </w:p>
    <w:p>
      <w:r>
        <w:rPr>
          <w:b/>
        </w:rPr>
        <w:t>Date for effectiveness review and reviewer</w:t>
      </w:r>
    </w:p>
    <w:p>
      <w:r>
        <w:t>________________________________________________________________________________</w:t>
      </w:r>
    </w:p>
    <w:p>
      <w:r>
        <w:t>Reopen if new information, further harm or ineffective controls emerge.</w:t>
      </w:r>
    </w:p>
    <w:p>
      <w:r>
        <w:br w:type="page"/>
      </w:r>
    </w:p>
    <w:p>
      <w:pPr>
        <w:pStyle w:val="Heading1"/>
      </w:pPr>
      <w:r>
        <w:t>F5 Incident register and dashboard template</w:t>
      </w:r>
    </w:p>
    <w:p>
      <w:r>
        <w:t>Use the following schema in the approved secure database or spreadsheet. This page defines the fields; it is not a completed register. Keep detailed sensitive narratives in restricted case files and use de-identified dashboards for broader review.</w:t>
      </w:r>
    </w:p>
    <w:tbl>
      <w:tblPr>
        <w:tblW w:type="auto" w:w="0"/>
        <w:tblLayout w:type="fixed"/>
        <w:tblLook w:firstColumn="1" w:firstRow="1" w:lastColumn="0" w:lastRow="0" w:noHBand="0" w:noVBand="1" w:val="04A0"/>
      </w:tblPr>
      <w:tblGrid>
        <w:gridCol w:w="2160"/>
        <w:gridCol w:w="7776"/>
      </w:tblGrid>
      <w:tr>
        <w:trPr>
          <w:cantSplit/>
          <w:tblHeader/>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Field</w:t>
            </w:r>
          </w:p>
        </w:tc>
        <w:tc>
          <w:tcPr>
            <w:tcW w:type="dxa" w:w="7776"/>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What to enter</w:t>
            </w:r>
          </w:p>
        </w:tc>
      </w:tr>
      <w:tr>
        <w:trPr>
          <w:cantSplit/>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Incident ID</w:t>
            </w:r>
          </w:p>
        </w:tc>
        <w:tc>
          <w:tcPr>
            <w:tcW w:type="dxa" w:w="777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Unique reference and linked complaint reference</w:t>
            </w:r>
          </w:p>
        </w:tc>
      </w:tr>
      <w:tr>
        <w:trPr>
          <w:cantSplit/>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Service and location</w:t>
            </w:r>
          </w:p>
        </w:tc>
        <w:tc>
          <w:tcPr>
            <w:tcW w:type="dxa" w:w="777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Program or site where the incident arose</w:t>
            </w:r>
          </w:p>
        </w:tc>
      </w:tr>
      <w:tr>
        <w:trPr>
          <w:cantSplit/>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Dates</w:t>
            </w:r>
          </w:p>
        </w:tc>
        <w:tc>
          <w:tcPr>
            <w:tcW w:type="dxa" w:w="777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Occurrence discovery awareness and reporting times</w:t>
            </w:r>
          </w:p>
        </w:tc>
      </w:tr>
      <w:tr>
        <w:trPr>
          <w:cantSplit/>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People</w:t>
            </w:r>
          </w:p>
        </w:tc>
        <w:tc>
          <w:tcPr>
            <w:tcW w:type="dxa" w:w="777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Secure participant reference and responsible manager</w:t>
            </w:r>
          </w:p>
        </w:tc>
      </w:tr>
      <w:tr>
        <w:trPr>
          <w:cantSplit/>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Category and risk</w:t>
            </w:r>
          </w:p>
        </w:tc>
        <w:tc>
          <w:tcPr>
            <w:tcW w:type="dxa" w:w="777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Incident type severity and reportability decision</w:t>
            </w:r>
          </w:p>
        </w:tc>
      </w:tr>
      <w:tr>
        <w:trPr>
          <w:cantSplit/>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Immediate action</w:t>
            </w:r>
          </w:p>
        </w:tc>
        <w:tc>
          <w:tcPr>
            <w:tcW w:type="dxa" w:w="777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Safety response and current support arrangements</w:t>
            </w:r>
          </w:p>
        </w:tc>
      </w:tr>
      <w:tr>
        <w:trPr>
          <w:cantSplit/>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Notifications</w:t>
            </w:r>
          </w:p>
        </w:tc>
        <w:tc>
          <w:tcPr>
            <w:tcW w:type="dxa" w:w="777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Agency reference due date submission and receipt</w:t>
            </w:r>
          </w:p>
        </w:tc>
      </w:tr>
      <w:tr>
        <w:trPr>
          <w:cantSplit/>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Investigation</w:t>
            </w:r>
          </w:p>
        </w:tc>
        <w:tc>
          <w:tcPr>
            <w:tcW w:type="dxa" w:w="777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Investigator scope status findings and directions</w:t>
            </w:r>
          </w:p>
        </w:tc>
      </w:tr>
      <w:tr>
        <w:trPr>
          <w:cantSplit/>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Actions</w:t>
            </w:r>
          </w:p>
        </w:tc>
        <w:tc>
          <w:tcPr>
            <w:tcW w:type="dxa" w:w="777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Owner due date completion and effectiveness evidence</w:t>
            </w:r>
          </w:p>
        </w:tc>
      </w:tr>
      <w:tr>
        <w:trPr>
          <w:cantSplit/>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Participant involvement</w:t>
            </w:r>
          </w:p>
        </w:tc>
        <w:tc>
          <w:tcPr>
            <w:tcW w:type="dxa" w:w="777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Preferences updates feedback and outcome provided</w:t>
            </w:r>
          </w:p>
        </w:tc>
      </w:tr>
      <w:tr>
        <w:trPr>
          <w:cantSplit/>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Status</w:t>
            </w:r>
          </w:p>
        </w:tc>
        <w:tc>
          <w:tcPr>
            <w:tcW w:type="dxa" w:w="777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Open under review awaiting action or closed</w:t>
            </w:r>
          </w:p>
        </w:tc>
      </w:tr>
      <w:tr>
        <w:trPr>
          <w:cantSplit/>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Retention</w:t>
            </w:r>
          </w:p>
        </w:tc>
        <w:tc>
          <w:tcPr>
            <w:tcW w:type="dxa" w:w="777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Record date notification dates retention review and legal hold</w:t>
            </w:r>
          </w:p>
        </w:tc>
      </w:tr>
    </w:tbl>
    <w:p/>
    <w:p>
      <w:pPr>
        <w:pStyle w:val="Heading2"/>
      </w:pPr>
      <w:r>
        <w:t>Suggested monthly dashboard</w:t>
      </w:r>
    </w:p>
    <w:p>
      <w:pPr>
        <w:pStyle w:val="ListBullet"/>
      </w:pPr>
      <w:r>
        <w:t>Incident and near-miss counts by type and service.</w:t>
      </w:r>
    </w:p>
    <w:p>
      <w:pPr>
        <w:pStyle w:val="ListBullet"/>
      </w:pPr>
      <w:r>
        <w:t>Reportable incidents notified within deadline and reasons for any delay.</w:t>
      </w:r>
    </w:p>
    <w:p>
      <w:pPr>
        <w:pStyle w:val="ListBullet"/>
      </w:pPr>
      <w:r>
        <w:t>Repeat events and common contributing conditions.</w:t>
      </w:r>
    </w:p>
    <w:p>
      <w:pPr>
        <w:pStyle w:val="ListBullet"/>
      </w:pPr>
      <w:r>
        <w:t>Overdue safety actions and verified effective actions.</w:t>
      </w:r>
    </w:p>
    <w:p>
      <w:pPr>
        <w:pStyle w:val="ListBullet"/>
      </w:pPr>
      <w:r>
        <w:t>Participant feedback themes and concerns about retaliation.</w:t>
      </w:r>
    </w:p>
    <w:p>
      <w:r>
        <w:t>Interpret counts with service volume and reporting culture. An increase in near-miss reports may indicate improved reporting rather than deteriorating care.</w:t>
      </w:r>
    </w:p>
    <w:p>
      <w:r>
        <w:br w:type="page"/>
      </w:r>
    </w:p>
    <w:p>
      <w:pPr>
        <w:pStyle w:val="Heading1"/>
      </w:pPr>
      <w:r>
        <w:t>F6 Participant information and staff training record</w:t>
      </w:r>
    </w:p>
    <w:p>
      <w:pPr>
        <w:pStyle w:val="Heading2"/>
      </w:pPr>
      <w:r>
        <w:t>Participant information summary</w:t>
      </w:r>
    </w:p>
    <w:p>
      <w:r>
        <w:t>If something happens that hurts you or makes you feel unsafe, tell us. You can speak to any worker, our manager or someone you trust. We will listen, help you get support and explain what happens next.</w:t>
      </w:r>
    </w:p>
    <w:p>
      <w:r>
        <w:t>You can ask for an advocate, an interpreter or your communication aid. Tell us who you want involved. We will explain what information we need to share to keep you safe and meet reporting duties.</w:t>
      </w:r>
    </w:p>
    <w:p>
      <w:r>
        <w:t>You can make a complaint directly to the NDIS Commission. We will not punish you or stop your supports because you raise a concern. If you are in immediate danger, call 000.</w:t>
      </w:r>
    </w:p>
    <w:p>
      <w:r>
        <w:rPr>
          <w:b/>
        </w:rPr>
        <w:t>Your organisation contact and after hours number</w:t>
      </w:r>
    </w:p>
    <w:p>
      <w:r>
        <w:t>________________________________________________________________________________</w:t>
      </w:r>
    </w:p>
    <w:p>
      <w:r>
        <w:rPr>
          <w:b/>
        </w:rPr>
        <w:t>Independent advocacy contact</w:t>
      </w:r>
    </w:p>
    <w:p>
      <w:r>
        <w:t>________________________________________________________________________________</w:t>
      </w:r>
    </w:p>
    <w:p>
      <w:r>
        <w:rPr>
          <w:b/>
        </w:rPr>
        <w:t>Preferred way to receive this information</w:t>
      </w:r>
    </w:p>
    <w:p>
      <w:r>
        <w:t>________________________________________________________________________________</w:t>
      </w:r>
    </w:p>
    <w:p>
      <w:r>
        <w:t>NDIS Commission complaints: 1800 035 544. Adapt this summary with the participant; it is plain language, not a formally validated Easy Read publication.</w:t>
      </w:r>
    </w:p>
    <w:p>
      <w:pPr>
        <w:pStyle w:val="Heading2"/>
      </w:pPr>
      <w:r>
        <w:t>Staff training record</w:t>
      </w:r>
    </w:p>
    <w:p>
      <w:r>
        <w:rPr>
          <w:b/>
        </w:rPr>
        <w:t>Worker name role and service</w:t>
      </w:r>
    </w:p>
    <w:p>
      <w:r>
        <w:t>________________________________________________________________________________</w:t>
      </w:r>
    </w:p>
    <w:p>
      <w:r>
        <w:rPr>
          <w:b/>
        </w:rPr>
        <w:t>Trainer and training date</w:t>
      </w:r>
    </w:p>
    <w:p>
      <w:r>
        <w:t>________________________________________________________________________________</w:t>
      </w:r>
    </w:p>
    <w:p>
      <w:r>
        <w:rPr>
          <w:b/>
        </w:rPr>
        <w:t>Policies covered and version</w:t>
      </w:r>
    </w:p>
    <w:p>
      <w:r>
        <w:t>________________________________________________________________________________</w:t>
      </w:r>
    </w:p>
    <w:p>
      <w:r>
        <w:rPr>
          <w:b/>
        </w:rPr>
        <w:t>Knowledge check result</w:t>
      </w:r>
    </w:p>
    <w:p>
      <w:r>
        <w:t>________________________________________________________________________________</w:t>
      </w:r>
    </w:p>
    <w:p>
      <w:r>
        <w:rPr>
          <w:b/>
        </w:rPr>
        <w:t>Practical assessment result</w:t>
      </w:r>
    </w:p>
    <w:p>
      <w:r>
        <w:t>________________________________________________________________________________</w:t>
      </w:r>
    </w:p>
    <w:p>
      <w:r>
        <w:rPr>
          <w:b/>
        </w:rPr>
        <w:t>Coaching required and reassessment date</w:t>
      </w:r>
    </w:p>
    <w:p>
      <w:r>
        <w:t>________________________________________________________________________________</w:t>
      </w:r>
    </w:p>
    <w:p>
      <w:r>
        <w:rPr>
          <w:b/>
        </w:rPr>
        <w:t>Worker acknowledgement and trainer signature</w:t>
      </w:r>
    </w:p>
    <w:p>
      <w:r>
        <w:t>________________________________________________________________________________</w:t>
      </w:r>
    </w:p>
    <w:p>
      <w:r>
        <w:br w:type="page"/>
      </w:r>
    </w:p>
    <w:p>
      <w:pPr>
        <w:pStyle w:val="Heading1"/>
      </w:pPr>
      <w:r>
        <w:t>NSW supplement and external contacts</w:t>
      </w:r>
    </w:p>
    <w:p>
      <w:r>
        <w:t>This supplement is for services operating in NSW. NDIS reporting runs alongside other legal reporting streams. Confirm thresholds, entity coverage and current directions for each case; do not apply NSW deadlines nationally.</w:t>
      </w:r>
    </w:p>
    <w:tbl>
      <w:tblPr>
        <w:tblW w:type="auto" w:w="0"/>
        <w:tblLayout w:type="fixed"/>
        <w:tblLook w:firstColumn="1" w:firstRow="1" w:lastColumn="0" w:lastRow="0" w:noHBand="0" w:noVBand="1" w:val="04A0"/>
      </w:tblPr>
      <w:tblGrid>
        <w:gridCol w:w="2520"/>
        <w:gridCol w:w="7416"/>
      </w:tblGrid>
      <w:tr>
        <w:trPr>
          <w:cantSplit/>
          <w:tblHeader/>
        </w:trPr>
        <w:tc>
          <w:tcPr>
            <w:tcW w:type="dxa" w:w="2520"/>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Body or pathway</w:t>
            </w:r>
          </w:p>
        </w:tc>
        <w:tc>
          <w:tcPr>
            <w:tcW w:type="dxa" w:w="7416"/>
            <w:tcBorders>
              <w:top w:val="single" w:sz="4" w:color="D9D9D9"/>
              <w:left w:val="single" w:sz="4" w:color="D9D9D9"/>
              <w:bottom w:val="single" w:sz="4" w:color="D9D9D9"/>
              <w:right w:val="single" w:sz="4" w:color="D9D9D9"/>
            </w:tcBorders>
            <w:tcMar>
              <w:top w:w="95" w:type="dxa"/>
              <w:left w:w="95" w:type="dxa"/>
              <w:bottom w:w="95" w:type="dxa"/>
              <w:right w:w="95" w:type="dxa"/>
            </w:tcMar>
            <w:shd w:fill="333333"/>
          </w:tcPr>
          <w:p>
            <w:pPr>
              <w:spacing w:after="40" w:line="247" w:lineRule="auto"/>
            </w:pPr>
            <w:r>
              <w:rPr>
                <w:b/>
                <w:color w:val="FFFFFF"/>
                <w:sz w:val="18"/>
              </w:rPr>
              <w:t>Trigger and response</w:t>
            </w:r>
          </w:p>
        </w:tc>
      </w:tr>
      <w:tr>
        <w:trPr>
          <w:cantSplit/>
        </w:trPr>
        <w:tc>
          <w:tcPr>
            <w:tcW w:type="dxa" w:w="252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Emergency services</w:t>
            </w:r>
          </w:p>
        </w:tc>
        <w:tc>
          <w:tcPr>
            <w:tcW w:type="dxa" w:w="741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000 for urgent danger or medical emergency.</w:t>
            </w:r>
          </w:p>
        </w:tc>
      </w:tr>
      <w:tr>
        <w:trPr>
          <w:cantSplit/>
        </w:trPr>
        <w:tc>
          <w:tcPr>
            <w:tcW w:type="dxa" w:w="252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NDIS Commission</w:t>
            </w:r>
          </w:p>
        </w:tc>
        <w:tc>
          <w:tcPr>
            <w:tcW w:type="dxa" w:w="741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Registered-provider reportable incidents: page 9. Incident assistance: incidentintake@ndiscommission.gov.au. Complaints: 1800 035 544.</w:t>
            </w:r>
          </w:p>
        </w:tc>
      </w:tr>
      <w:tr>
        <w:trPr>
          <w:cantSplit/>
        </w:trPr>
        <w:tc>
          <w:tcPr>
            <w:tcW w:type="dxa" w:w="252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SafeWork NSW</w:t>
            </w:r>
          </w:p>
        </w:tc>
        <w:tc>
          <w:tcPr>
            <w:tcW w:type="dxa" w:w="741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Assess work-related death serious injury/illness or dangerous incident. Notify immediately when legally notifiable: 13 10 50. Preserve the site subject to lawful rescue and safety exceptions. [S8]</w:t>
            </w:r>
          </w:p>
        </w:tc>
      </w:tr>
      <w:tr>
        <w:trPr>
          <w:cantSplit/>
        </w:trPr>
        <w:tc>
          <w:tcPr>
            <w:tcW w:type="dxa" w:w="252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NSW DCJ</w:t>
            </w:r>
          </w:p>
        </w:tc>
        <w:tc>
          <w:tcPr>
            <w:tcW w:type="dxa" w:w="741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Assess child risk of significant harm and mandatory reporter duties. Use the Mandatory Reporter Guide as applicable. Child Protection Helpline: 132 111. Emergency danger: 000. [S9]</w:t>
            </w:r>
          </w:p>
        </w:tc>
      </w:tr>
      <w:tr>
        <w:trPr>
          <w:cantSplit/>
        </w:trPr>
        <w:tc>
          <w:tcPr>
            <w:tcW w:type="dxa" w:w="252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NSW Office of the Childrens Guardian</w:t>
            </w:r>
          </w:p>
        </w:tc>
        <w:tc>
          <w:tcPr>
            <w:tcW w:type="dxa" w:w="741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47" w:lineRule="auto"/>
            </w:pPr>
            <w:r>
              <w:rPr>
                <w:b w:val="0"/>
                <w:sz w:val="18"/>
              </w:rPr>
              <w:t>Where the organisation is a relevant entity, assess reportable allegations/convictions. Notify within 7 business days of awareness. Current OCG guidance requires an interim or final entity report within 30 calendar days. Confirm current directions. [S11]</w:t>
            </w:r>
          </w:p>
        </w:tc>
      </w:tr>
      <w:tr>
        <w:trPr>
          <w:cantSplit/>
        </w:trPr>
        <w:tc>
          <w:tcPr>
            <w:tcW w:type="dxa" w:w="2520"/>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OAIC</w:t>
            </w:r>
          </w:p>
        </w:tc>
        <w:tc>
          <w:tcPr>
            <w:tcW w:type="dxa" w:w="7416"/>
            <w:tcBorders>
              <w:top w:val="single" w:sz="4" w:color="D9D9D9"/>
              <w:left w:val="single" w:sz="4" w:color="D9D9D9"/>
              <w:bottom w:val="single" w:sz="4" w:color="D9D9D9"/>
              <w:right w:val="single" w:sz="4" w:color="D9D9D9"/>
            </w:tcBorders>
            <w:tcMar>
              <w:top w:w="95" w:type="dxa"/>
              <w:left w:w="95" w:type="dxa"/>
              <w:bottom w:w="95" w:type="dxa"/>
              <w:right w:w="95" w:type="dxa"/>
            </w:tcMar>
            <w:shd w:fill="F4F4F4"/>
          </w:tcPr>
          <w:p>
            <w:pPr>
              <w:spacing w:after="40" w:line="247" w:lineRule="auto"/>
            </w:pPr>
            <w:r>
              <w:rPr>
                <w:b w:val="0"/>
                <w:sz w:val="18"/>
              </w:rPr>
              <w:t>For entities covered by the Privacy Act assess eligible data breaches. Take reasonable steps to finish assessment within 30 days and notify affected people and OAIC when required. [S10]</w:t>
            </w:r>
          </w:p>
        </w:tc>
      </w:tr>
    </w:tbl>
    <w:p/>
    <w:p>
      <w:pPr>
        <w:pStyle w:val="Heading2"/>
      </w:pPr>
      <w:r>
        <w:t>Additional checks</w:t>
      </w:r>
    </w:p>
    <w:p>
      <w:r>
        <w:t>Management should identify applicable police/coroner duties, professional regulator obligations, worker screening notifications, insurer requirements and contract terms. For services in other states and territories, replace this supplement with local requirements and contacts before issue.</w:t>
      </w:r>
    </w:p>
    <w:p>
      <w:r>
        <w:t>OCG materials have historically used differing 30-day descriptions. Use the current entity guidance, governing legislation and the agency’s written direction for your case; the NDIS five-day period remains separate.</w:t>
      </w:r>
    </w:p>
    <w:p>
      <w:r>
        <w:br w:type="page"/>
      </w:r>
    </w:p>
    <w:p>
      <w:pPr>
        <w:pStyle w:val="Heading1"/>
      </w:pPr>
      <w:r>
        <w:t>Official sources and requirement map</w:t>
      </w:r>
    </w:p>
    <w:p>
      <w:r>
        <w:t>Sources checked on 9 October 2026. This source register links to official material. The policy wording, training scenarios, forms and internal service targets in this pack are original proposed controls.</w:t>
      </w:r>
    </w:p>
    <w:p>
      <w:pPr>
        <w:pStyle w:val="Heading2"/>
      </w:pPr>
      <w:r>
        <w:t>S1 NDIS Commission incident management</w:t>
      </w:r>
    </w:p>
    <w:p>
      <w:r>
        <w:t>Scope and participant-focused incident response.</w:t>
      </w:r>
    </w:p>
    <w:p>
      <w:r>
        <w:t>https://www.ndiscommission.gov.au/rules-and-standards/reportable-incidents-and-incident-management/incident-management</w:t>
      </w:r>
    </w:p>
    <w:p>
      <w:pPr>
        <w:pStyle w:val="Heading2"/>
      </w:pPr>
      <w:r>
        <w:t>S2 NDIS Commission reportable incidents</w:t>
      </w:r>
    </w:p>
    <w:p>
      <w:r>
        <w:t>Categories current timeframes approved forms and assistance.</w:t>
      </w:r>
    </w:p>
    <w:p>
      <w:r>
        <w:t>https://www.ndiscommission.gov.au/rules-and-standards/reportable-incidents-and-incident-management/reportable-incidents</w:t>
      </w:r>
    </w:p>
    <w:p>
      <w:pPr>
        <w:pStyle w:val="Heading2"/>
      </w:pPr>
      <w:r>
        <w:t>S3 NDIS Practice Standards provider governance and operational management</w:t>
      </w:r>
    </w:p>
    <w:p>
      <w:r>
        <w:t>Incident management workforce risk governance and improvement standards.</w:t>
      </w:r>
    </w:p>
    <w:p>
      <w:r>
        <w:t>https://www.ndiscommission.gov.au/rules-and-standards/ndis-practice-standards/core-module-provider-governance-and-operational</w:t>
      </w:r>
    </w:p>
    <w:p>
      <w:pPr>
        <w:pStyle w:val="Heading2"/>
      </w:pPr>
      <w:r>
        <w:t>S4 Incident Management and Reportable Incidents Rules 2018</w:t>
      </w:r>
    </w:p>
    <w:p>
      <w:r>
        <w:t>In-force instrument; rules 16 20 21 23 24 and 25 support classification notifications updates final reports and retention.</w:t>
      </w:r>
    </w:p>
    <w:p>
      <w:r>
        <w:t>https://www.legislation.gov.au/Details/F2018L00633</w:t>
      </w:r>
    </w:p>
    <w:p>
      <w:pPr>
        <w:pStyle w:val="Heading2"/>
      </w:pPr>
      <w:r>
        <w:t>S5 NDIS Commission incident management detailed guidance</w:t>
      </w:r>
    </w:p>
    <w:p>
      <w:r>
        <w:t>System procedures records fairness and investigations.</w:t>
      </w:r>
    </w:p>
    <w:p>
      <w:r>
        <w:t>https://www.ndiscommission.gov.au/sites/default/files/2024-09/detailed-guidance-incident-management-systems-detailed-guidance-regi-20240926.pdf</w:t>
      </w:r>
    </w:p>
    <w:p>
      <w:pPr>
        <w:pStyle w:val="Heading2"/>
      </w:pPr>
      <w:r>
        <w:t>S6 NDIS Commission reportable incidents detailed guidance</w:t>
      </w:r>
    </w:p>
    <w:p>
      <w:r>
        <w:t>Operational interpretation of abuse neglect and other reportable categories.</w:t>
      </w:r>
    </w:p>
    <w:p>
      <w:r>
        <w:t>https://www.ndiscommission.gov.au/sites/default/files/2026-02/detailed-guidance-reportable-incidents_WORD_FINAL.%20Copy.pdf</w:t>
      </w:r>
    </w:p>
    <w:p>
      <w:r>
        <w:br w:type="page"/>
      </w:r>
    </w:p>
    <w:p>
      <w:pPr>
        <w:pStyle w:val="Heading1"/>
      </w:pPr>
      <w:r>
        <w:t>Further sources and implementation checklist</w:t>
      </w:r>
    </w:p>
    <w:p>
      <w:pPr>
        <w:pStyle w:val="Heading2"/>
      </w:pPr>
      <w:r>
        <w:t>S7 NDIS Commission behaviour support and restrictive practices</w:t>
      </w:r>
    </w:p>
    <w:p>
      <w:r>
        <w:t>Types of restrictive practices.</w:t>
      </w:r>
    </w:p>
    <w:p>
      <w:r>
        <w:t>https://www.ndiscommission.gov.au/rules-and-standards/behaviour-support-and-restrictive-practices/understanding-behaviour-support</w:t>
      </w:r>
    </w:p>
    <w:p>
      <w:pPr>
        <w:pStyle w:val="Heading2"/>
      </w:pPr>
      <w:r>
        <w:t>S8 SafeWork NSW incident notification</w:t>
      </w:r>
    </w:p>
    <w:p>
      <w:r>
        <w:t>WHS notification and site preservation.</w:t>
      </w:r>
    </w:p>
    <w:p>
      <w:r>
        <w:t>https://www.safework.nsw.gov.au/safety-starts-here/safety-overview/mandatory-injury-register/notification-accordion/notification-accordion</w:t>
      </w:r>
    </w:p>
    <w:p>
      <w:pPr>
        <w:pStyle w:val="Heading2"/>
      </w:pPr>
      <w:r>
        <w:t>S9 NSW DCJ mandatory reporting</w:t>
      </w:r>
    </w:p>
    <w:p>
      <w:r>
        <w:t>Child protection thresholds and reporting pathways.</w:t>
      </w:r>
    </w:p>
    <w:p>
      <w:r>
        <w:t>https://dcj.nsw.gov.au/service-providers/deliver-services-to-children-and-families/nsw-interagency-guidelines-for-practitioners/reporting-responding-wellbeing-and-safety-concerns/mandatory-reporting.html</w:t>
      </w:r>
    </w:p>
    <w:p>
      <w:pPr>
        <w:pStyle w:val="Heading2"/>
      </w:pPr>
      <w:r>
        <w:t>S10 OAIC when to report a data breach</w:t>
      </w:r>
    </w:p>
    <w:p>
      <w:r>
        <w:t>Eligible data breach assessment and notification.</w:t>
      </w:r>
    </w:p>
    <w:p>
      <w:r>
        <w:t>https://www.oaic.gov.au/privacy/notifiable-data-breaches/when-to-report-a-data-breach</w:t>
      </w:r>
    </w:p>
    <w:p>
      <w:pPr>
        <w:pStyle w:val="Heading2"/>
      </w:pPr>
      <w:r>
        <w:t>S11 NSW OCG responsibilities of the Head of Relevant Entity</w:t>
      </w:r>
    </w:p>
    <w:p>
      <w:r>
        <w:t>Current reportable conduct notification and entity-report guidance.</w:t>
      </w:r>
    </w:p>
    <w:p>
      <w:r>
        <w:t>https://ocg.nsw.gov.au/organisations/reportable-conduct-scheme/responsibilities-head-relevant-entity</w:t>
      </w:r>
    </w:p>
    <w:p>
      <w:pPr>
        <w:pStyle w:val="Heading2"/>
      </w:pPr>
      <w:r>
        <w:t>Implementation checklist</w:t>
      </w:r>
    </w:p>
    <w:p>
      <w:pPr>
        <w:pStyle w:val="ListBullet"/>
      </w:pPr>
      <w:r>
        <w:t>Complete adoption details and approve only after checking service and jurisdiction requirements.</w:t>
      </w:r>
    </w:p>
    <w:p>
      <w:pPr>
        <w:pStyle w:val="ListBullet"/>
      </w:pPr>
      <w:r>
        <w:t>Test primary and backup reporting access and after-hours escalation.</w:t>
      </w:r>
    </w:p>
    <w:p>
      <w:pPr>
        <w:pStyle w:val="ListBullet"/>
      </w:pPr>
      <w:r>
        <w:t>Configure secure forms register retention and notification reminders.</w:t>
      </w:r>
    </w:p>
    <w:p>
      <w:pPr>
        <w:pStyle w:val="ListBullet"/>
      </w:pPr>
      <w:r>
        <w:t>Train staff and verify practical competence.</w:t>
      </w:r>
    </w:p>
    <w:p>
      <w:pPr>
        <w:pStyle w:val="ListBullet"/>
      </w:pPr>
      <w:r>
        <w:t>Give participants accessible reporting and advocacy information.</w:t>
      </w:r>
    </w:p>
    <w:p>
      <w:pPr>
        <w:pStyle w:val="ListBullet"/>
      </w:pPr>
      <w:r>
        <w:t>Schedule record audits action reviews and policy updates.</w:t>
      </w:r>
    </w:p>
    <w:sectPr w:rsidR="00FC693F" w:rsidRPr="0006063C" w:rsidSect="00034616">
      <w:headerReference w:type="default" r:id="rId9"/>
      <w:footerReference w:type="default" r:id="rId10"/>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1.0  •  Draft for provider adoption  •  9 October 2026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NDIS INCIDENT MANAGEMENT  |  TRAINING AND POLICY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